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48B" w:rsidRDefault="00CD348B">
      <w:pPr>
        <w:spacing w:before="120"/>
        <w:rPr>
          <w:sz w:val="2"/>
        </w:rPr>
      </w:pPr>
    </w:p>
    <w:tbl>
      <w:tblPr>
        <w:tblW w:w="10276" w:type="dxa"/>
        <w:tblLayout w:type="fixed"/>
        <w:tblCellMar>
          <w:left w:w="70" w:type="dxa"/>
          <w:right w:w="70" w:type="dxa"/>
        </w:tblCellMar>
        <w:tblLook w:val="0000"/>
      </w:tblPr>
      <w:tblGrid>
        <w:gridCol w:w="6449"/>
        <w:gridCol w:w="3827"/>
      </w:tblGrid>
      <w:tr w:rsidR="00CD348B">
        <w:trPr>
          <w:trHeight w:hRule="exact" w:val="1559"/>
        </w:trPr>
        <w:tc>
          <w:tcPr>
            <w:tcW w:w="6449" w:type="dxa"/>
            <w:vAlign w:val="center"/>
          </w:tcPr>
          <w:p w:rsidR="00CD348B" w:rsidRDefault="007A214D">
            <w:pPr>
              <w:rPr>
                <w:rFonts w:ascii="Arial Fett" w:hAnsi="Arial Fett"/>
                <w:b/>
                <w:sz w:val="52"/>
              </w:rPr>
            </w:pPr>
            <w:r>
              <w:rPr>
                <w:rFonts w:ascii="Arial Fett" w:hAnsi="Arial Fett"/>
                <w:b/>
                <w:sz w:val="52"/>
              </w:rPr>
              <w:t xml:space="preserve">Press </w:t>
            </w:r>
            <w:proofErr w:type="spellStart"/>
            <w:r>
              <w:rPr>
                <w:rFonts w:ascii="Arial Fett" w:hAnsi="Arial Fett"/>
                <w:b/>
                <w:sz w:val="52"/>
              </w:rPr>
              <w:t>release</w:t>
            </w:r>
            <w:proofErr w:type="spellEnd"/>
          </w:p>
        </w:tc>
        <w:tc>
          <w:tcPr>
            <w:tcW w:w="3827" w:type="dxa"/>
          </w:tcPr>
          <w:p w:rsidR="00CD348B" w:rsidRDefault="009D602B" w:rsidP="00F05EF3">
            <w:pPr>
              <w:ind w:left="-170"/>
              <w:jc w:val="center"/>
            </w:pPr>
            <w:r>
              <w:rPr>
                <w:noProof/>
              </w:rPr>
              <w:drawing>
                <wp:inline distT="0" distB="0" distL="0" distR="0">
                  <wp:extent cx="895350" cy="895350"/>
                  <wp:effectExtent l="19050" t="0" r="0" b="0"/>
                  <wp:docPr id="1" name="Bild 1" descr="gizlogo-standard-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zlogo-standard-rgb"/>
                          <pic:cNvPicPr>
                            <a:picLocks noChangeAspect="1" noChangeArrowheads="1"/>
                          </pic:cNvPicPr>
                        </pic:nvPicPr>
                        <pic:blipFill>
                          <a:blip r:embed="rId6" cstate="print"/>
                          <a:srcRect/>
                          <a:stretch>
                            <a:fillRect/>
                          </a:stretch>
                        </pic:blipFill>
                        <pic:spPr bwMode="auto">
                          <a:xfrm>
                            <a:off x="0" y="0"/>
                            <a:ext cx="895350" cy="895350"/>
                          </a:xfrm>
                          <a:prstGeom prst="rect">
                            <a:avLst/>
                          </a:prstGeom>
                          <a:noFill/>
                          <a:ln w="9525">
                            <a:noFill/>
                            <a:miter lim="800000"/>
                            <a:headEnd/>
                            <a:tailEnd/>
                          </a:ln>
                        </pic:spPr>
                      </pic:pic>
                    </a:graphicData>
                  </a:graphic>
                </wp:inline>
              </w:drawing>
            </w:r>
          </w:p>
        </w:tc>
      </w:tr>
    </w:tbl>
    <w:p w:rsidR="00CD348B" w:rsidRDefault="00CD348B">
      <w:pPr>
        <w:spacing w:after="600"/>
        <w:rPr>
          <w:sz w:val="2"/>
        </w:rPr>
      </w:pPr>
    </w:p>
    <w:tbl>
      <w:tblPr>
        <w:tblW w:w="10560" w:type="dxa"/>
        <w:tblCellMar>
          <w:left w:w="70" w:type="dxa"/>
          <w:right w:w="70" w:type="dxa"/>
        </w:tblCellMar>
        <w:tblLook w:val="0000"/>
      </w:tblPr>
      <w:tblGrid>
        <w:gridCol w:w="7657"/>
        <w:gridCol w:w="2903"/>
      </w:tblGrid>
      <w:tr w:rsidR="00CD348B" w:rsidRPr="00013ECF">
        <w:tc>
          <w:tcPr>
            <w:tcW w:w="7657" w:type="dxa"/>
          </w:tcPr>
          <w:p w:rsidR="00CD348B" w:rsidRPr="009D602B" w:rsidRDefault="007A214D" w:rsidP="009D602B">
            <w:pPr>
              <w:pStyle w:val="teasertext"/>
              <w:rPr>
                <w:rFonts w:ascii="Arial" w:hAnsi="Arial" w:cs="Arial"/>
                <w:b/>
                <w:sz w:val="32"/>
                <w:szCs w:val="32"/>
              </w:rPr>
            </w:pPr>
            <w:r>
              <w:rPr>
                <w:rFonts w:ascii="Arial" w:hAnsi="Arial" w:cs="Arial"/>
                <w:b/>
                <w:sz w:val="32"/>
                <w:szCs w:val="32"/>
              </w:rPr>
              <w:t xml:space="preserve">The </w:t>
            </w:r>
            <w:proofErr w:type="spellStart"/>
            <w:r>
              <w:rPr>
                <w:rFonts w:ascii="Arial" w:hAnsi="Arial" w:cs="Arial"/>
                <w:b/>
                <w:sz w:val="32"/>
                <w:szCs w:val="32"/>
              </w:rPr>
              <w:t>merger</w:t>
            </w:r>
            <w:proofErr w:type="spellEnd"/>
            <w:r>
              <w:rPr>
                <w:rFonts w:ascii="Arial" w:hAnsi="Arial" w:cs="Arial"/>
                <w:b/>
                <w:sz w:val="32"/>
                <w:szCs w:val="32"/>
              </w:rPr>
              <w:t xml:space="preserve"> </w:t>
            </w:r>
            <w:proofErr w:type="spellStart"/>
            <w:r>
              <w:rPr>
                <w:rFonts w:ascii="Arial" w:hAnsi="Arial" w:cs="Arial"/>
                <w:b/>
                <w:sz w:val="32"/>
                <w:szCs w:val="32"/>
              </w:rPr>
              <w:t>is</w:t>
            </w:r>
            <w:proofErr w:type="spellEnd"/>
            <w:r>
              <w:rPr>
                <w:rFonts w:ascii="Arial" w:hAnsi="Arial" w:cs="Arial"/>
                <w:b/>
                <w:sz w:val="32"/>
                <w:szCs w:val="32"/>
              </w:rPr>
              <w:t xml:space="preserve"> </w:t>
            </w:r>
            <w:proofErr w:type="spellStart"/>
            <w:r>
              <w:rPr>
                <w:rFonts w:ascii="Arial" w:hAnsi="Arial" w:cs="Arial"/>
                <w:b/>
                <w:sz w:val="32"/>
                <w:szCs w:val="32"/>
              </w:rPr>
              <w:t>paying</w:t>
            </w:r>
            <w:proofErr w:type="spellEnd"/>
            <w:r>
              <w:rPr>
                <w:rFonts w:ascii="Arial" w:hAnsi="Arial" w:cs="Arial"/>
                <w:b/>
                <w:sz w:val="32"/>
                <w:szCs w:val="32"/>
              </w:rPr>
              <w:t xml:space="preserve"> off</w:t>
            </w:r>
          </w:p>
          <w:p w:rsidR="00CD348B" w:rsidRPr="007A214D" w:rsidRDefault="007A214D" w:rsidP="009D602B">
            <w:pPr>
              <w:pStyle w:val="teasertext"/>
              <w:rPr>
                <w:rFonts w:ascii="Arial" w:hAnsi="Arial" w:cs="Arial"/>
                <w:b/>
                <w:sz w:val="28"/>
                <w:szCs w:val="28"/>
                <w:lang w:val="en-GB"/>
              </w:rPr>
            </w:pPr>
            <w:r w:rsidRPr="007A214D">
              <w:rPr>
                <w:rFonts w:ascii="Arial" w:hAnsi="Arial" w:cs="Arial"/>
                <w:b/>
                <w:sz w:val="28"/>
                <w:szCs w:val="28"/>
                <w:lang w:val="en-GB"/>
              </w:rPr>
              <w:t>Working even more effectively and efficiently for the German Government – total turnover EUR 2 billion</w:t>
            </w:r>
          </w:p>
        </w:tc>
        <w:tc>
          <w:tcPr>
            <w:tcW w:w="2903" w:type="dxa"/>
          </w:tcPr>
          <w:p w:rsidR="00CD348B" w:rsidRPr="003C026A" w:rsidRDefault="009D602B" w:rsidP="00F05EF3">
            <w:pPr>
              <w:pStyle w:val="RedaktionTextfeld"/>
              <w:tabs>
                <w:tab w:val="clear" w:pos="310"/>
                <w:tab w:val="left" w:pos="364"/>
              </w:tabs>
              <w:spacing w:before="120"/>
              <w:ind w:left="57"/>
              <w:rPr>
                <w:b/>
              </w:rPr>
            </w:pPr>
            <w:r>
              <w:rPr>
                <w:b/>
                <w:noProof/>
              </w:rPr>
              <w:drawing>
                <wp:anchor distT="0" distB="0" distL="114300" distR="114300" simplePos="0" relativeHeight="251658240" behindDoc="0" locked="0" layoutInCell="1" allowOverlap="1">
                  <wp:simplePos x="0" y="0"/>
                  <wp:positionH relativeFrom="column">
                    <wp:posOffset>3175</wp:posOffset>
                  </wp:positionH>
                  <wp:positionV relativeFrom="paragraph">
                    <wp:posOffset>3319145</wp:posOffset>
                  </wp:positionV>
                  <wp:extent cx="1753235" cy="5193030"/>
                  <wp:effectExtent l="19050" t="0" r="0" b="0"/>
                  <wp:wrapNone/>
                  <wp:docPr id="5" name="Bild 5" descr="Marginalspalte_Konto_F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rginalspalte_Konto_FFM"/>
                          <pic:cNvPicPr>
                            <a:picLocks noChangeAspect="1" noChangeArrowheads="1"/>
                          </pic:cNvPicPr>
                        </pic:nvPicPr>
                        <pic:blipFill>
                          <a:blip r:embed="rId7" cstate="print"/>
                          <a:srcRect b="17393"/>
                          <a:stretch>
                            <a:fillRect/>
                          </a:stretch>
                        </pic:blipFill>
                        <pic:spPr bwMode="auto">
                          <a:xfrm>
                            <a:off x="0" y="0"/>
                            <a:ext cx="1753235" cy="5193030"/>
                          </a:xfrm>
                          <a:prstGeom prst="rect">
                            <a:avLst/>
                          </a:prstGeom>
                          <a:noFill/>
                        </pic:spPr>
                      </pic:pic>
                    </a:graphicData>
                  </a:graphic>
                </wp:anchor>
              </w:drawing>
            </w:r>
            <w:r>
              <w:rPr>
                <w:b/>
                <w:noProof/>
              </w:rPr>
              <w:drawing>
                <wp:anchor distT="0" distB="0" distL="114300" distR="114300" simplePos="0" relativeHeight="251657216" behindDoc="0" locked="0" layoutInCell="1" allowOverlap="1">
                  <wp:simplePos x="0" y="0"/>
                  <wp:positionH relativeFrom="column">
                    <wp:posOffset>53340</wp:posOffset>
                  </wp:positionH>
                  <wp:positionV relativeFrom="paragraph">
                    <wp:posOffset>2094865</wp:posOffset>
                  </wp:positionV>
                  <wp:extent cx="1141095" cy="866140"/>
                  <wp:effectExtent l="19050" t="0" r="1905" b="0"/>
                  <wp:wrapNone/>
                  <wp:docPr id="4" name="Bild 4" descr="Marginalspalte_01-0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rginalspalte_01-01-11"/>
                          <pic:cNvPicPr>
                            <a:picLocks noChangeAspect="1" noChangeArrowheads="1"/>
                          </pic:cNvPicPr>
                        </pic:nvPicPr>
                        <pic:blipFill>
                          <a:blip r:embed="rId8" cstate="print"/>
                          <a:srcRect/>
                          <a:stretch>
                            <a:fillRect/>
                          </a:stretch>
                        </pic:blipFill>
                        <pic:spPr bwMode="auto">
                          <a:xfrm>
                            <a:off x="0" y="0"/>
                            <a:ext cx="1141095" cy="866140"/>
                          </a:xfrm>
                          <a:prstGeom prst="rect">
                            <a:avLst/>
                          </a:prstGeom>
                          <a:noFill/>
                        </pic:spPr>
                      </pic:pic>
                    </a:graphicData>
                  </a:graphic>
                </wp:anchor>
              </w:drawing>
            </w:r>
            <w:r w:rsidR="007A214D">
              <w:rPr>
                <w:b/>
              </w:rPr>
              <w:t>Editor</w:t>
            </w:r>
            <w:r w:rsidR="00CD348B" w:rsidRPr="003C026A">
              <w:rPr>
                <w:b/>
              </w:rPr>
              <w:t>:</w:t>
            </w:r>
          </w:p>
          <w:p w:rsidR="00CD348B" w:rsidRDefault="00CD348B" w:rsidP="00F05EF3">
            <w:pPr>
              <w:pStyle w:val="RedaktionTextfeld"/>
              <w:tabs>
                <w:tab w:val="clear" w:pos="310"/>
                <w:tab w:val="left" w:pos="364"/>
              </w:tabs>
              <w:ind w:left="57"/>
            </w:pPr>
          </w:p>
          <w:p w:rsidR="00CD348B" w:rsidRDefault="009D602B" w:rsidP="00F05EF3">
            <w:pPr>
              <w:pStyle w:val="RedaktionTextfeld"/>
              <w:tabs>
                <w:tab w:val="clear" w:pos="310"/>
                <w:tab w:val="left" w:pos="364"/>
              </w:tabs>
              <w:ind w:left="57"/>
            </w:pPr>
            <w:r>
              <w:t>Anja Tomic</w:t>
            </w:r>
          </w:p>
          <w:p w:rsidR="00CD348B" w:rsidRDefault="00CD348B" w:rsidP="00F05EF3">
            <w:pPr>
              <w:pStyle w:val="RedaktionTextfeld"/>
              <w:tabs>
                <w:tab w:val="clear" w:pos="310"/>
                <w:tab w:val="left" w:pos="364"/>
              </w:tabs>
              <w:ind w:left="57"/>
            </w:pPr>
            <w:r>
              <w:t>T</w:t>
            </w:r>
            <w:r>
              <w:tab/>
              <w:t>+49 61 96 79-</w:t>
            </w:r>
            <w:r w:rsidR="009D602B">
              <w:t>4466</w:t>
            </w:r>
          </w:p>
          <w:p w:rsidR="00CD348B" w:rsidRDefault="00CD348B" w:rsidP="00F05EF3">
            <w:pPr>
              <w:pStyle w:val="RedaktionTextfeld"/>
              <w:tabs>
                <w:tab w:val="clear" w:pos="310"/>
                <w:tab w:val="left" w:pos="364"/>
              </w:tabs>
              <w:ind w:left="57"/>
            </w:pPr>
            <w:r>
              <w:t>F</w:t>
            </w:r>
            <w:r>
              <w:tab/>
              <w:t>+49 61 96 79-</w:t>
            </w:r>
            <w:r w:rsidR="009D602B">
              <w:t>80 4466</w:t>
            </w:r>
          </w:p>
          <w:p w:rsidR="00CD348B" w:rsidRPr="00013ECF" w:rsidRDefault="00CD348B" w:rsidP="009D602B">
            <w:pPr>
              <w:pStyle w:val="RedaktionTextfeld"/>
              <w:tabs>
                <w:tab w:val="clear" w:pos="310"/>
                <w:tab w:val="left" w:pos="364"/>
              </w:tabs>
              <w:ind w:left="57"/>
              <w:rPr>
                <w:rFonts w:ascii="Arial Fett" w:hAnsi="Arial Fett"/>
              </w:rPr>
            </w:pPr>
            <w:r w:rsidRPr="00013ECF">
              <w:t>E</w:t>
            </w:r>
            <w:r w:rsidRPr="00013ECF">
              <w:tab/>
            </w:r>
            <w:r w:rsidR="009D602B">
              <w:t>presse</w:t>
            </w:r>
            <w:r w:rsidRPr="00013ECF">
              <w:t>@g</w:t>
            </w:r>
            <w:r w:rsidR="00F05EF3">
              <w:t>i</w:t>
            </w:r>
            <w:r w:rsidRPr="00013ECF">
              <w:t>z.de</w:t>
            </w:r>
          </w:p>
        </w:tc>
      </w:tr>
    </w:tbl>
    <w:p w:rsidR="007A214D" w:rsidRPr="007A214D" w:rsidRDefault="009D602B" w:rsidP="007A214D">
      <w:pPr>
        <w:pStyle w:val="StandardWeb"/>
        <w:rPr>
          <w:rFonts w:ascii="Arial" w:hAnsi="Arial" w:cs="Arial"/>
          <w:sz w:val="22"/>
          <w:szCs w:val="22"/>
          <w:lang w:val="en-GB"/>
        </w:rPr>
      </w:pPr>
      <w:r w:rsidRPr="009D602B">
        <w:rPr>
          <w:rFonts w:ascii="Arial" w:hAnsi="Arial" w:cs="Arial"/>
          <w:sz w:val="22"/>
          <w:szCs w:val="22"/>
        </w:rPr>
        <w:t>Berlin</w:t>
      </w:r>
      <w:r w:rsidR="00CD348B">
        <w:rPr>
          <w:lang w:val="en-GB"/>
        </w:rPr>
        <w:t>,</w:t>
      </w:r>
      <w:r w:rsidR="007A214D">
        <w:rPr>
          <w:rFonts w:ascii="Arial" w:hAnsi="Arial" w:cs="Arial"/>
          <w:sz w:val="22"/>
          <w:szCs w:val="22"/>
        </w:rPr>
        <w:t xml:space="preserve"> 26 June </w:t>
      </w:r>
      <w:r>
        <w:rPr>
          <w:rFonts w:ascii="Arial" w:hAnsi="Arial" w:cs="Arial"/>
          <w:sz w:val="22"/>
          <w:szCs w:val="22"/>
        </w:rPr>
        <w:t>2012</w:t>
      </w:r>
      <w:r w:rsidR="00CD348B" w:rsidRPr="007A214D">
        <w:rPr>
          <w:rFonts w:ascii="Arial" w:hAnsi="Arial" w:cs="Arial"/>
          <w:sz w:val="22"/>
          <w:szCs w:val="22"/>
          <w:lang w:val="en-GB"/>
        </w:rPr>
        <w:t>.</w:t>
      </w:r>
      <w:r w:rsidR="00013ECF" w:rsidRPr="007A214D">
        <w:rPr>
          <w:rFonts w:ascii="Arial" w:hAnsi="Arial" w:cs="Arial"/>
          <w:sz w:val="22"/>
          <w:szCs w:val="22"/>
          <w:lang w:val="en-GB"/>
        </w:rPr>
        <w:t xml:space="preserve"> </w:t>
      </w:r>
      <w:r w:rsidR="007A214D" w:rsidRPr="007A214D">
        <w:rPr>
          <w:rFonts w:ascii="Arial" w:hAnsi="Arial" w:cs="Arial"/>
          <w:sz w:val="22"/>
          <w:szCs w:val="22"/>
          <w:lang w:val="en-GB"/>
        </w:rPr>
        <w:t xml:space="preserve">At the annual press conference in Berlin, Bernd </w:t>
      </w:r>
      <w:proofErr w:type="spellStart"/>
      <w:r w:rsidR="007A214D" w:rsidRPr="007A214D">
        <w:rPr>
          <w:rFonts w:ascii="Arial" w:hAnsi="Arial" w:cs="Arial"/>
          <w:sz w:val="22"/>
          <w:szCs w:val="22"/>
          <w:lang w:val="en-GB"/>
        </w:rPr>
        <w:t>Eisenblätter</w:t>
      </w:r>
      <w:proofErr w:type="spellEnd"/>
      <w:r w:rsidR="007A214D" w:rsidRPr="007A214D">
        <w:rPr>
          <w:rFonts w:ascii="Arial" w:hAnsi="Arial" w:cs="Arial"/>
          <w:sz w:val="22"/>
          <w:szCs w:val="22"/>
          <w:lang w:val="en-GB"/>
        </w:rPr>
        <w:t xml:space="preserve">, Chairman of GIZ’s Management Board, said how very satisfied he was with developments during GIZ’s inaugural year. ‘Last year, we went a long way toward successfully forging an effective and efficient company from three organisations’, said </w:t>
      </w:r>
      <w:proofErr w:type="spellStart"/>
      <w:r w:rsidR="007A214D" w:rsidRPr="007A214D">
        <w:rPr>
          <w:rFonts w:ascii="Arial" w:hAnsi="Arial" w:cs="Arial"/>
          <w:sz w:val="22"/>
          <w:szCs w:val="22"/>
          <w:lang w:val="en-GB"/>
        </w:rPr>
        <w:t>Eisenblätter</w:t>
      </w:r>
      <w:proofErr w:type="spellEnd"/>
      <w:r w:rsidR="007A214D" w:rsidRPr="007A214D">
        <w:rPr>
          <w:rFonts w:ascii="Arial" w:hAnsi="Arial" w:cs="Arial"/>
          <w:sz w:val="22"/>
          <w:szCs w:val="22"/>
          <w:lang w:val="en-GB"/>
        </w:rPr>
        <w:t>. ‘The merger is paying off. And the high demand for the advisory services we deliver for the German Government confirms that we remain on course.’ In 2011 the company chalked up a record high, achieving a total volume of EUR 2 million – a year-on-year increase of ten per cent.</w:t>
      </w:r>
    </w:p>
    <w:p w:rsidR="00F34D20" w:rsidRPr="00F34D20" w:rsidRDefault="00F34D20" w:rsidP="00F34D20">
      <w:pPr>
        <w:pStyle w:val="StandardWeb"/>
        <w:rPr>
          <w:rFonts w:ascii="Arial" w:hAnsi="Arial" w:cs="Arial"/>
          <w:sz w:val="22"/>
          <w:szCs w:val="22"/>
          <w:lang w:val="en-GB"/>
        </w:rPr>
      </w:pPr>
      <w:r w:rsidRPr="00F34D20">
        <w:rPr>
          <w:rFonts w:ascii="Arial" w:hAnsi="Arial" w:cs="Arial"/>
          <w:sz w:val="22"/>
          <w:szCs w:val="22"/>
          <w:lang w:val="en-GB"/>
        </w:rPr>
        <w:t>‘GIZ’s business results in 2011 show that the most important structural reform in German development cooperation has been a success. GIZ’s services are held in high regard throughout the globe. They are in demand, and are sought not just by BMZ, but also by other ministries, governments and international organisations. GIZ brings together the valuable experience and expertise of its predecessor organisations, thereby increasing the impact and effectiveness of development cooperation,’ said Hans-</w:t>
      </w:r>
      <w:proofErr w:type="spellStart"/>
      <w:r w:rsidRPr="00F34D20">
        <w:rPr>
          <w:rFonts w:ascii="Arial" w:hAnsi="Arial" w:cs="Arial"/>
          <w:sz w:val="22"/>
          <w:szCs w:val="22"/>
          <w:lang w:val="en-GB"/>
        </w:rPr>
        <w:t>Jürgen</w:t>
      </w:r>
      <w:proofErr w:type="spellEnd"/>
      <w:r w:rsidRPr="00F34D20">
        <w:rPr>
          <w:rFonts w:ascii="Arial" w:hAnsi="Arial" w:cs="Arial"/>
          <w:sz w:val="22"/>
          <w:szCs w:val="22"/>
          <w:lang w:val="en-GB"/>
        </w:rPr>
        <w:t xml:space="preserve"> </w:t>
      </w:r>
      <w:proofErr w:type="spellStart"/>
      <w:r w:rsidRPr="00F34D20">
        <w:rPr>
          <w:rFonts w:ascii="Arial" w:hAnsi="Arial" w:cs="Arial"/>
          <w:sz w:val="22"/>
          <w:szCs w:val="22"/>
          <w:lang w:val="en-GB"/>
        </w:rPr>
        <w:t>Beerfeltz</w:t>
      </w:r>
      <w:proofErr w:type="spellEnd"/>
      <w:r w:rsidRPr="00F34D20">
        <w:rPr>
          <w:rFonts w:ascii="Arial" w:hAnsi="Arial" w:cs="Arial"/>
          <w:sz w:val="22"/>
          <w:szCs w:val="22"/>
          <w:lang w:val="en-GB"/>
        </w:rPr>
        <w:t>, State Secretary in the German Federal Ministry for Economic Cooperation and Development (BMZ) and Chair of the GIZ Supervisory Board.</w:t>
      </w:r>
    </w:p>
    <w:p w:rsidR="007A214D" w:rsidRPr="007A214D" w:rsidRDefault="007A214D" w:rsidP="007A214D">
      <w:pPr>
        <w:pStyle w:val="StandardWeb"/>
        <w:rPr>
          <w:rFonts w:ascii="Arial" w:hAnsi="Arial" w:cs="Arial"/>
          <w:sz w:val="22"/>
          <w:szCs w:val="22"/>
          <w:lang w:val="en-GB"/>
        </w:rPr>
      </w:pPr>
      <w:r w:rsidRPr="007A214D">
        <w:rPr>
          <w:rFonts w:ascii="Arial" w:hAnsi="Arial" w:cs="Arial"/>
          <w:sz w:val="22"/>
          <w:szCs w:val="22"/>
          <w:lang w:val="en-GB"/>
        </w:rPr>
        <w:t>In 2011 GIZ’s volume of business (or total turnover) reached a level of around EUR 2 billion (the precise amount was EUR 2,032 million), which was ten per cent higher than the previous year’s figure. This is a new record</w:t>
      </w:r>
      <w:bookmarkStart w:id="0" w:name="_GoBack"/>
      <w:bookmarkEnd w:id="0"/>
      <w:r w:rsidRPr="007A214D">
        <w:rPr>
          <w:rFonts w:ascii="Arial" w:hAnsi="Arial" w:cs="Arial"/>
          <w:sz w:val="22"/>
          <w:szCs w:val="22"/>
          <w:lang w:val="en-GB"/>
        </w:rPr>
        <w:t xml:space="preserve"> for GIZ, and reflects the high regard in which the company’s services are held.</w:t>
      </w:r>
    </w:p>
    <w:p w:rsidR="007A214D" w:rsidRPr="007A214D" w:rsidRDefault="007A214D" w:rsidP="007A214D">
      <w:pPr>
        <w:pStyle w:val="StandardWeb"/>
        <w:rPr>
          <w:rFonts w:ascii="Arial" w:hAnsi="Arial" w:cs="Arial"/>
          <w:sz w:val="22"/>
          <w:szCs w:val="22"/>
          <w:lang w:val="en-GB"/>
        </w:rPr>
      </w:pPr>
      <w:r w:rsidRPr="007A214D">
        <w:rPr>
          <w:rFonts w:ascii="Arial" w:hAnsi="Arial" w:cs="Arial"/>
          <w:sz w:val="22"/>
          <w:szCs w:val="22"/>
          <w:lang w:val="en-GB"/>
        </w:rPr>
        <w:t>In 2011 GIZ once again received most of its business (75 per cent, or commissions worth EUR 1,533 million) from BMZ. Eleven per cent was provided by other German federal ministries, with the largest share coming from the Federal Foreign Office (EUR 83 million), followed by the Federal Ministry for the Environment, Nature Conservation and Nuclear Safety (around EUR 56 million) and the Federal Ministry of Defence (around EUR 24 million). Around a further 14 per cent (EUR 277 million) came from foreign governments and international organisations such as the EU and the UN.</w:t>
      </w:r>
    </w:p>
    <w:p w:rsidR="007A214D" w:rsidRPr="007A214D" w:rsidRDefault="007A214D" w:rsidP="007A214D">
      <w:pPr>
        <w:pStyle w:val="StandardWeb"/>
        <w:rPr>
          <w:rFonts w:ascii="Arial" w:hAnsi="Arial" w:cs="Arial"/>
          <w:sz w:val="22"/>
          <w:szCs w:val="22"/>
          <w:lang w:val="en-GB"/>
        </w:rPr>
      </w:pPr>
      <w:r w:rsidRPr="007A214D">
        <w:rPr>
          <w:rFonts w:ascii="Arial" w:hAnsi="Arial" w:cs="Arial"/>
          <w:sz w:val="22"/>
          <w:szCs w:val="22"/>
          <w:lang w:val="en-GB"/>
        </w:rPr>
        <w:t xml:space="preserve">As at 31 December 2011, GIZ employed a total of 17,185 staff (compared to a figure of 17,296 as at 31 December 2010). Eighty per cent of these (13,816 staff) were employed abroad, and 20 per cent (3,241 staff) in Germany. A further 3,000 persons also worked for GIZ in 2011: just under 1,000 development advisors, almost 500 </w:t>
      </w:r>
      <w:proofErr w:type="spellStart"/>
      <w:r w:rsidRPr="007A214D">
        <w:rPr>
          <w:rFonts w:ascii="Arial" w:hAnsi="Arial" w:cs="Arial"/>
          <w:i/>
          <w:sz w:val="22"/>
          <w:szCs w:val="22"/>
          <w:lang w:val="en-GB"/>
        </w:rPr>
        <w:t>weltwärts</w:t>
      </w:r>
      <w:proofErr w:type="spellEnd"/>
      <w:r w:rsidRPr="007A214D">
        <w:rPr>
          <w:rFonts w:ascii="Arial" w:hAnsi="Arial" w:cs="Arial"/>
          <w:sz w:val="22"/>
          <w:szCs w:val="22"/>
          <w:lang w:val="en-GB"/>
        </w:rPr>
        <w:t xml:space="preserve"> volunteers and 1,050 integrated, returning and local experts. </w:t>
      </w:r>
    </w:p>
    <w:p w:rsidR="007A214D" w:rsidRPr="007A214D" w:rsidRDefault="007A214D" w:rsidP="007A214D">
      <w:pPr>
        <w:rPr>
          <w:rFonts w:cs="Arial"/>
          <w:szCs w:val="22"/>
          <w:lang w:val="en-GB"/>
        </w:rPr>
      </w:pPr>
      <w:r w:rsidRPr="007A214D">
        <w:rPr>
          <w:rFonts w:cs="Arial"/>
          <w:szCs w:val="22"/>
        </w:rPr>
        <w:lastRenderedPageBreak/>
        <w:t xml:space="preserve">The Deutsche Gesellschaft für Internationale Zusammenarbeit (GIZ) GmbH </w:t>
      </w:r>
      <w:proofErr w:type="spellStart"/>
      <w:r w:rsidRPr="007A214D">
        <w:rPr>
          <w:rFonts w:cs="Arial"/>
          <w:szCs w:val="22"/>
        </w:rPr>
        <w:t>is</w:t>
      </w:r>
      <w:proofErr w:type="spellEnd"/>
      <w:r w:rsidRPr="007A214D">
        <w:rPr>
          <w:rFonts w:cs="Arial"/>
          <w:szCs w:val="22"/>
        </w:rPr>
        <w:t xml:space="preserve"> a </w:t>
      </w:r>
      <w:proofErr w:type="spellStart"/>
      <w:r w:rsidRPr="007A214D">
        <w:rPr>
          <w:rFonts w:cs="Arial"/>
          <w:szCs w:val="22"/>
        </w:rPr>
        <w:t>federal</w:t>
      </w:r>
      <w:proofErr w:type="spellEnd"/>
      <w:r w:rsidRPr="007A214D">
        <w:rPr>
          <w:rFonts w:cs="Arial"/>
          <w:szCs w:val="22"/>
        </w:rPr>
        <w:t xml:space="preserve"> </w:t>
      </w:r>
      <w:proofErr w:type="spellStart"/>
      <w:r w:rsidRPr="007A214D">
        <w:rPr>
          <w:rFonts w:cs="Arial"/>
          <w:szCs w:val="22"/>
        </w:rPr>
        <w:t>enterprise</w:t>
      </w:r>
      <w:proofErr w:type="spellEnd"/>
      <w:r w:rsidRPr="007A214D">
        <w:rPr>
          <w:rFonts w:cs="Arial"/>
          <w:szCs w:val="22"/>
        </w:rPr>
        <w:t xml:space="preserve"> </w:t>
      </w:r>
      <w:proofErr w:type="spellStart"/>
      <w:r w:rsidRPr="007A214D">
        <w:rPr>
          <w:rFonts w:cs="Arial"/>
          <w:szCs w:val="22"/>
        </w:rPr>
        <w:t>with</w:t>
      </w:r>
      <w:proofErr w:type="spellEnd"/>
      <w:r w:rsidRPr="007A214D">
        <w:rPr>
          <w:rFonts w:cs="Arial"/>
          <w:szCs w:val="22"/>
        </w:rPr>
        <w:t xml:space="preserve"> </w:t>
      </w:r>
      <w:proofErr w:type="spellStart"/>
      <w:r w:rsidRPr="007A214D">
        <w:rPr>
          <w:rFonts w:cs="Arial"/>
          <w:szCs w:val="22"/>
        </w:rPr>
        <w:t>worldwide</w:t>
      </w:r>
      <w:proofErr w:type="spellEnd"/>
      <w:r w:rsidRPr="007A214D">
        <w:rPr>
          <w:rFonts w:cs="Arial"/>
          <w:szCs w:val="22"/>
        </w:rPr>
        <w:t xml:space="preserve"> </w:t>
      </w:r>
      <w:proofErr w:type="spellStart"/>
      <w:r w:rsidRPr="007A214D">
        <w:rPr>
          <w:rFonts w:cs="Arial"/>
          <w:szCs w:val="22"/>
        </w:rPr>
        <w:t>operations</w:t>
      </w:r>
      <w:proofErr w:type="spellEnd"/>
      <w:r w:rsidRPr="007A214D">
        <w:rPr>
          <w:rFonts w:cs="Arial"/>
          <w:szCs w:val="22"/>
        </w:rPr>
        <w:t xml:space="preserve">. </w:t>
      </w:r>
      <w:r w:rsidRPr="007A214D">
        <w:rPr>
          <w:rFonts w:cs="Arial"/>
          <w:szCs w:val="22"/>
          <w:lang w:val="en-US"/>
        </w:rPr>
        <w:t>We support the German Government in the fields of international cooperation for sustainable development and international education. Through our work we assist people and societies in shaping their own futures and improving living conditions.</w:t>
      </w:r>
    </w:p>
    <w:p w:rsidR="001B4445" w:rsidRPr="009D602B" w:rsidRDefault="001B4445" w:rsidP="007A214D">
      <w:pPr>
        <w:pStyle w:val="StandardWeb"/>
        <w:rPr>
          <w:rFonts w:cs="Arial"/>
          <w:szCs w:val="22"/>
        </w:rPr>
      </w:pPr>
    </w:p>
    <w:sectPr w:rsidR="001B4445" w:rsidRPr="009D602B" w:rsidSect="00A5329D">
      <w:headerReference w:type="default" r:id="rId9"/>
      <w:headerReference w:type="first" r:id="rId10"/>
      <w:pgSz w:w="11906" w:h="16838" w:code="9"/>
      <w:pgMar w:top="567" w:right="3175" w:bottom="1418" w:left="1134"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4DC4" w:rsidRDefault="00EF4DC4">
      <w:r>
        <w:separator/>
      </w:r>
    </w:p>
  </w:endnote>
  <w:endnote w:type="continuationSeparator" w:id="0">
    <w:p w:rsidR="00EF4DC4" w:rsidRDefault="00EF4D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Fett">
    <w:panose1 w:val="020B07040202020202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4DC4" w:rsidRDefault="00EF4DC4">
      <w:r>
        <w:separator/>
      </w:r>
    </w:p>
  </w:footnote>
  <w:footnote w:type="continuationSeparator" w:id="0">
    <w:p w:rsidR="00EF4DC4" w:rsidRDefault="00EF4D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445" w:rsidRDefault="001B4445">
    <w:pPr>
      <w:rPr>
        <w:rFonts w:cs="Arial"/>
        <w:sz w:val="2"/>
      </w:rPr>
    </w:pPr>
  </w:p>
  <w:tbl>
    <w:tblPr>
      <w:tblW w:w="10276" w:type="dxa"/>
      <w:tblLayout w:type="fixed"/>
      <w:tblCellMar>
        <w:left w:w="70" w:type="dxa"/>
        <w:right w:w="70" w:type="dxa"/>
      </w:tblCellMar>
      <w:tblLook w:val="0000"/>
    </w:tblPr>
    <w:tblGrid>
      <w:gridCol w:w="6449"/>
      <w:gridCol w:w="3827"/>
    </w:tblGrid>
    <w:tr w:rsidR="001B4445">
      <w:trPr>
        <w:trHeight w:hRule="exact" w:val="1559"/>
      </w:trPr>
      <w:tc>
        <w:tcPr>
          <w:tcW w:w="6449" w:type="dxa"/>
          <w:vAlign w:val="center"/>
        </w:tcPr>
        <w:p w:rsidR="001B4445" w:rsidRDefault="001B4445">
          <w:pPr>
            <w:spacing w:before="1440" w:after="680"/>
            <w:rPr>
              <w:rFonts w:ascii="Arial Fett" w:hAnsi="Arial Fett"/>
              <w:b/>
              <w:sz w:val="52"/>
            </w:rPr>
          </w:pPr>
        </w:p>
      </w:tc>
      <w:tc>
        <w:tcPr>
          <w:tcW w:w="3827" w:type="dxa"/>
        </w:tcPr>
        <w:p w:rsidR="001B4445" w:rsidRDefault="009D602B" w:rsidP="00F05EF3">
          <w:pPr>
            <w:spacing w:before="140"/>
            <w:ind w:left="-170"/>
            <w:jc w:val="center"/>
          </w:pPr>
          <w:r>
            <w:rPr>
              <w:noProof/>
            </w:rPr>
            <w:drawing>
              <wp:inline distT="0" distB="0" distL="0" distR="0">
                <wp:extent cx="895350" cy="895350"/>
                <wp:effectExtent l="19050" t="0" r="0" b="0"/>
                <wp:docPr id="2" name="Bild 2" descr="gizlogo-standard-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zlogo-standard-rgb"/>
                        <pic:cNvPicPr>
                          <a:picLocks noChangeAspect="1" noChangeArrowheads="1"/>
                        </pic:cNvPicPr>
                      </pic:nvPicPr>
                      <pic:blipFill>
                        <a:blip r:embed="rId1"/>
                        <a:srcRect/>
                        <a:stretch>
                          <a:fillRect/>
                        </a:stretch>
                      </pic:blipFill>
                      <pic:spPr bwMode="auto">
                        <a:xfrm>
                          <a:off x="0" y="0"/>
                          <a:ext cx="895350" cy="895350"/>
                        </a:xfrm>
                        <a:prstGeom prst="rect">
                          <a:avLst/>
                        </a:prstGeom>
                        <a:noFill/>
                        <a:ln w="9525">
                          <a:noFill/>
                          <a:miter lim="800000"/>
                          <a:headEnd/>
                          <a:tailEnd/>
                        </a:ln>
                      </pic:spPr>
                    </pic:pic>
                  </a:graphicData>
                </a:graphic>
              </wp:inline>
            </w:drawing>
          </w:r>
        </w:p>
      </w:tc>
    </w:tr>
  </w:tbl>
  <w:p w:rsidR="001B4445" w:rsidRDefault="001B4445">
    <w:pPr>
      <w:spacing w:after="680"/>
      <w:rPr>
        <w:rFonts w:cs="Arial"/>
        <w:sz w:val="20"/>
      </w:rPr>
    </w:pPr>
    <w:r>
      <w:rPr>
        <w:rFonts w:cs="Arial"/>
        <w:sz w:val="20"/>
      </w:rPr>
      <w:t xml:space="preserve">Seite </w:t>
    </w:r>
    <w:r w:rsidR="00817DAF">
      <w:rPr>
        <w:rFonts w:cs="Arial"/>
        <w:sz w:val="20"/>
      </w:rPr>
      <w:fldChar w:fldCharType="begin"/>
    </w:r>
    <w:r>
      <w:rPr>
        <w:rFonts w:cs="Arial"/>
        <w:sz w:val="20"/>
      </w:rPr>
      <w:instrText xml:space="preserve"> PAGE </w:instrText>
    </w:r>
    <w:r w:rsidR="00817DAF">
      <w:rPr>
        <w:rFonts w:cs="Arial"/>
        <w:sz w:val="20"/>
      </w:rPr>
      <w:fldChar w:fldCharType="separate"/>
    </w:r>
    <w:r w:rsidR="00F34D20">
      <w:rPr>
        <w:rFonts w:cs="Arial"/>
        <w:noProof/>
        <w:sz w:val="20"/>
      </w:rPr>
      <w:t>2</w:t>
    </w:r>
    <w:r w:rsidR="00817DAF">
      <w:rPr>
        <w:rFonts w:cs="Arial"/>
        <w:sz w:val="20"/>
      </w:rPr>
      <w:fldChar w:fldCharType="end"/>
    </w:r>
    <w:r>
      <w:rPr>
        <w:rFonts w:cs="Arial"/>
        <w:sz w:val="20"/>
      </w:rPr>
      <w:t xml:space="preserve"> von </w:t>
    </w:r>
    <w:r w:rsidR="00817DAF">
      <w:rPr>
        <w:rFonts w:cs="Arial"/>
        <w:sz w:val="20"/>
      </w:rPr>
      <w:fldChar w:fldCharType="begin"/>
    </w:r>
    <w:r>
      <w:rPr>
        <w:rFonts w:cs="Arial"/>
        <w:sz w:val="20"/>
      </w:rPr>
      <w:instrText xml:space="preserve"> NUMPAGES </w:instrText>
    </w:r>
    <w:r w:rsidR="00817DAF">
      <w:rPr>
        <w:rFonts w:cs="Arial"/>
        <w:sz w:val="20"/>
      </w:rPr>
      <w:fldChar w:fldCharType="separate"/>
    </w:r>
    <w:r w:rsidR="00F34D20">
      <w:rPr>
        <w:rFonts w:cs="Arial"/>
        <w:noProof/>
        <w:sz w:val="20"/>
      </w:rPr>
      <w:t>2</w:t>
    </w:r>
    <w:r w:rsidR="00817DAF">
      <w:rPr>
        <w:rFonts w:cs="Arial"/>
        <w:sz w:val="20"/>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445" w:rsidRDefault="001B4445">
    <w:pPr>
      <w:pStyle w:val="Kopfzeile"/>
      <w:tabs>
        <w:tab w:val="clear" w:pos="4819"/>
        <w:tab w:val="clear" w:pos="9071"/>
      </w:tabs>
      <w:rPr>
        <w:sz w:val="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rsids>
    <w:rsidRoot w:val="00EF4DC4"/>
    <w:rsid w:val="00013ECF"/>
    <w:rsid w:val="000301D6"/>
    <w:rsid w:val="00145726"/>
    <w:rsid w:val="001B4445"/>
    <w:rsid w:val="00207CC5"/>
    <w:rsid w:val="003C026A"/>
    <w:rsid w:val="006C0CAA"/>
    <w:rsid w:val="006E32A7"/>
    <w:rsid w:val="007A214D"/>
    <w:rsid w:val="007B3E36"/>
    <w:rsid w:val="007E30AE"/>
    <w:rsid w:val="00806C7C"/>
    <w:rsid w:val="00817DAF"/>
    <w:rsid w:val="009C5F36"/>
    <w:rsid w:val="009D602B"/>
    <w:rsid w:val="009F4A16"/>
    <w:rsid w:val="00A2668A"/>
    <w:rsid w:val="00A5329D"/>
    <w:rsid w:val="00B231AB"/>
    <w:rsid w:val="00C31A3A"/>
    <w:rsid w:val="00CD348B"/>
    <w:rsid w:val="00D75C32"/>
    <w:rsid w:val="00DF0764"/>
    <w:rsid w:val="00E3671C"/>
    <w:rsid w:val="00EF2911"/>
    <w:rsid w:val="00EF4DC4"/>
    <w:rsid w:val="00F05EF3"/>
    <w:rsid w:val="00F34D2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06C7C"/>
    <w:rPr>
      <w:rFonts w:ascii="Arial" w:hAnsi="Arial"/>
      <w:sz w:val="22"/>
    </w:rPr>
  </w:style>
  <w:style w:type="paragraph" w:styleId="berschrift1">
    <w:name w:val="heading 1"/>
    <w:basedOn w:val="Standard"/>
    <w:next w:val="Standard"/>
    <w:qFormat/>
    <w:rsid w:val="00A5329D"/>
    <w:pPr>
      <w:keepNext/>
      <w:spacing w:before="240"/>
      <w:outlineLvl w:val="0"/>
    </w:pPr>
    <w:rPr>
      <w:b/>
      <w:kern w:val="28"/>
      <w:sz w:val="28"/>
    </w:rPr>
  </w:style>
  <w:style w:type="paragraph" w:styleId="berschrift2">
    <w:name w:val="heading 2"/>
    <w:basedOn w:val="Standard"/>
    <w:next w:val="Standard"/>
    <w:qFormat/>
    <w:rsid w:val="00A5329D"/>
    <w:pPr>
      <w:keepNext/>
      <w:spacing w:before="240"/>
      <w:outlineLvl w:val="1"/>
    </w:pPr>
    <w:rPr>
      <w:b/>
      <w:sz w:val="24"/>
    </w:rPr>
  </w:style>
  <w:style w:type="paragraph" w:styleId="berschrift3">
    <w:name w:val="heading 3"/>
    <w:basedOn w:val="Standard"/>
    <w:next w:val="Standard"/>
    <w:qFormat/>
    <w:rsid w:val="00A5329D"/>
    <w:pPr>
      <w:keepNext/>
      <w:spacing w:before="240"/>
      <w:outlineLvl w:val="2"/>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Einrckung">
    <w:name w:val="1. Einrückung"/>
    <w:basedOn w:val="Standard"/>
    <w:rsid w:val="00A5329D"/>
    <w:pPr>
      <w:tabs>
        <w:tab w:val="left" w:pos="567"/>
      </w:tabs>
      <w:ind w:left="567" w:hanging="567"/>
    </w:pPr>
  </w:style>
  <w:style w:type="paragraph" w:customStyle="1" w:styleId="2Einrckung">
    <w:name w:val="2. Einrückung"/>
    <w:basedOn w:val="Standard"/>
    <w:rsid w:val="00A5329D"/>
    <w:pPr>
      <w:tabs>
        <w:tab w:val="left" w:pos="567"/>
        <w:tab w:val="left" w:pos="1134"/>
      </w:tabs>
      <w:ind w:left="1134" w:hanging="567"/>
    </w:pPr>
  </w:style>
  <w:style w:type="paragraph" w:customStyle="1" w:styleId="3Einrckung">
    <w:name w:val="3. Einrückung"/>
    <w:basedOn w:val="Standard"/>
    <w:rsid w:val="00A5329D"/>
    <w:pPr>
      <w:tabs>
        <w:tab w:val="left" w:pos="567"/>
        <w:tab w:val="left" w:pos="1134"/>
        <w:tab w:val="left" w:pos="1701"/>
      </w:tabs>
      <w:ind w:left="1701" w:hanging="567"/>
    </w:pPr>
  </w:style>
  <w:style w:type="paragraph" w:customStyle="1" w:styleId="DatEinrckung">
    <w:name w:val="Dat.Einrückung"/>
    <w:basedOn w:val="Standard"/>
    <w:rsid w:val="00A5329D"/>
    <w:pPr>
      <w:tabs>
        <w:tab w:val="left" w:pos="1474"/>
      </w:tabs>
      <w:ind w:left="1474" w:hanging="1474"/>
    </w:pPr>
  </w:style>
  <w:style w:type="paragraph" w:styleId="Fuzeile">
    <w:name w:val="footer"/>
    <w:basedOn w:val="Standard"/>
    <w:rsid w:val="00A5329D"/>
    <w:pPr>
      <w:tabs>
        <w:tab w:val="center" w:pos="4819"/>
        <w:tab w:val="right" w:pos="9071"/>
      </w:tabs>
    </w:pPr>
  </w:style>
  <w:style w:type="paragraph" w:styleId="Kopfzeile">
    <w:name w:val="header"/>
    <w:basedOn w:val="Standard"/>
    <w:rsid w:val="00A5329D"/>
    <w:pPr>
      <w:tabs>
        <w:tab w:val="center" w:pos="4819"/>
        <w:tab w:val="right" w:pos="9071"/>
      </w:tabs>
    </w:pPr>
  </w:style>
  <w:style w:type="paragraph" w:styleId="Standardeinzug">
    <w:name w:val="Normal Indent"/>
    <w:basedOn w:val="Standard"/>
    <w:rsid w:val="00A5329D"/>
    <w:pPr>
      <w:ind w:left="708"/>
    </w:pPr>
  </w:style>
  <w:style w:type="paragraph" w:styleId="Verzeichnis1">
    <w:name w:val="toc 1"/>
    <w:basedOn w:val="Standard"/>
    <w:next w:val="Standard"/>
    <w:autoRedefine/>
    <w:semiHidden/>
    <w:rsid w:val="00A5329D"/>
    <w:pPr>
      <w:tabs>
        <w:tab w:val="left" w:pos="567"/>
        <w:tab w:val="right" w:leader="dot" w:pos="9062"/>
      </w:tabs>
      <w:spacing w:before="180"/>
      <w:ind w:left="567" w:hanging="567"/>
      <w:outlineLvl w:val="0"/>
    </w:pPr>
    <w:rPr>
      <w:b/>
      <w:noProof/>
    </w:rPr>
  </w:style>
  <w:style w:type="paragraph" w:styleId="Verzeichnis2">
    <w:name w:val="toc 2"/>
    <w:basedOn w:val="Standard"/>
    <w:next w:val="Standard"/>
    <w:autoRedefine/>
    <w:semiHidden/>
    <w:rsid w:val="00A5329D"/>
    <w:pPr>
      <w:tabs>
        <w:tab w:val="left" w:pos="1134"/>
        <w:tab w:val="right" w:leader="dot" w:pos="9062"/>
      </w:tabs>
      <w:spacing w:before="120"/>
      <w:ind w:left="1134" w:hanging="567"/>
      <w:outlineLvl w:val="1"/>
    </w:pPr>
    <w:rPr>
      <w:noProof/>
      <w:szCs w:val="36"/>
      <w:lang w:val="en-GB"/>
    </w:rPr>
  </w:style>
  <w:style w:type="paragraph" w:styleId="Verzeichnis3">
    <w:name w:val="toc 3"/>
    <w:basedOn w:val="Standard"/>
    <w:next w:val="Standard"/>
    <w:autoRedefine/>
    <w:semiHidden/>
    <w:rsid w:val="00A5329D"/>
    <w:pPr>
      <w:spacing w:before="60"/>
      <w:ind w:left="1985" w:hanging="851"/>
      <w:outlineLvl w:val="2"/>
    </w:pPr>
  </w:style>
  <w:style w:type="paragraph" w:customStyle="1" w:styleId="RedaktionTextfeld">
    <w:name w:val="RedaktionTextfeld"/>
    <w:basedOn w:val="Standard"/>
    <w:rsid w:val="00A5329D"/>
    <w:pPr>
      <w:tabs>
        <w:tab w:val="left" w:pos="310"/>
      </w:tabs>
      <w:spacing w:line="160" w:lineRule="exact"/>
      <w:ind w:left="102"/>
    </w:pPr>
    <w:rPr>
      <w:rFonts w:cs="Arial"/>
      <w:sz w:val="12"/>
    </w:rPr>
  </w:style>
  <w:style w:type="paragraph" w:customStyle="1" w:styleId="berschrift">
    <w:name w:val="Überschrift"/>
    <w:basedOn w:val="Standard"/>
    <w:rsid w:val="00A5329D"/>
    <w:pPr>
      <w:spacing w:after="1200"/>
    </w:pPr>
    <w:rPr>
      <w:rFonts w:ascii="Arial Fett" w:hAnsi="Arial Fett"/>
      <w:b/>
      <w:sz w:val="28"/>
    </w:rPr>
  </w:style>
  <w:style w:type="paragraph" w:customStyle="1" w:styleId="1berschrift">
    <w:name w:val="1.Überschrift"/>
    <w:basedOn w:val="Standard"/>
    <w:rsid w:val="00A5329D"/>
    <w:pPr>
      <w:tabs>
        <w:tab w:val="left" w:pos="567"/>
      </w:tabs>
      <w:spacing w:after="360"/>
    </w:pPr>
    <w:rPr>
      <w:b/>
      <w:bCs/>
      <w:sz w:val="28"/>
    </w:rPr>
  </w:style>
  <w:style w:type="paragraph" w:customStyle="1" w:styleId="2berschrift">
    <w:name w:val="2.Überschrift"/>
    <w:basedOn w:val="Standard"/>
    <w:rsid w:val="00A5329D"/>
    <w:pPr>
      <w:tabs>
        <w:tab w:val="left" w:pos="567"/>
      </w:tabs>
      <w:spacing w:after="360"/>
    </w:pPr>
    <w:rPr>
      <w:b/>
      <w:bCs/>
      <w:sz w:val="24"/>
    </w:rPr>
  </w:style>
  <w:style w:type="paragraph" w:styleId="Datum">
    <w:name w:val="Date"/>
    <w:basedOn w:val="Standard"/>
    <w:next w:val="Standard"/>
    <w:rsid w:val="00A5329D"/>
    <w:pPr>
      <w:spacing w:after="240"/>
    </w:pPr>
    <w:rPr>
      <w:i/>
    </w:rPr>
  </w:style>
  <w:style w:type="paragraph" w:customStyle="1" w:styleId="teasertext">
    <w:name w:val="teaser_text"/>
    <w:basedOn w:val="Standard"/>
    <w:rsid w:val="009D602B"/>
    <w:pPr>
      <w:spacing w:before="100" w:beforeAutospacing="1" w:after="100" w:afterAutospacing="1"/>
    </w:pPr>
    <w:rPr>
      <w:rFonts w:ascii="Times New Roman" w:hAnsi="Times New Roman"/>
      <w:sz w:val="24"/>
      <w:szCs w:val="24"/>
    </w:rPr>
  </w:style>
  <w:style w:type="paragraph" w:styleId="StandardWeb">
    <w:name w:val="Normal (Web)"/>
    <w:basedOn w:val="Standard"/>
    <w:uiPriority w:val="99"/>
    <w:unhideWhenUsed/>
    <w:rsid w:val="009D602B"/>
    <w:pPr>
      <w:spacing w:before="100" w:beforeAutospacing="1" w:after="100" w:afterAutospacing="1"/>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webSettings" Target="webSettings.xml"/><Relationship Id="rId7" Type="http://schemas.openxmlformats.org/officeDocument/2006/relationships/image" Target="media/image2.gi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1\HINGST~1\Livelink\ARBEIT~1\343107D.R.O\DE-PM-LogoFarbe-Vorlag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DE-PM-LogoFarbe-Vorlage.dotx</Template>
  <TotalTime>0</TotalTime>
  <Pages>2</Pages>
  <Words>495</Words>
  <Characters>2642</Characters>
  <Application>Microsoft Office Word</Application>
  <DocSecurity>0</DocSecurity>
  <Lines>44</Lines>
  <Paragraphs>11</Paragraphs>
  <ScaleCrop>false</ScaleCrop>
  <HeadingPairs>
    <vt:vector size="2" baseType="variant">
      <vt:variant>
        <vt:lpstr>Titel</vt:lpstr>
      </vt:variant>
      <vt:variant>
        <vt:i4>1</vt:i4>
      </vt:variant>
    </vt:vector>
  </HeadingPairs>
  <TitlesOfParts>
    <vt:vector size="1" baseType="lpstr">
      <vt:lpstr>Pressemitteilung</vt:lpstr>
    </vt:vector>
  </TitlesOfParts>
  <Company>Deutsche Gesellschaft für Internationale Zusammenarbeit (GIZ) GmbH</Company>
  <LinksUpToDate>false</LinksUpToDate>
  <CharactersWithSpaces>3126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Rene Hingst</dc:creator>
  <cp:keywords>Pressemitteilung; GIZ; BMZ; </cp:keywords>
  <dc:description/>
  <cp:lastModifiedBy>Rene Hingst</cp:lastModifiedBy>
  <cp:revision>3</cp:revision>
  <cp:lastPrinted>2007-02-02T12:24:00Z</cp:lastPrinted>
  <dcterms:created xsi:type="dcterms:W3CDTF">2012-06-22T08:44:00Z</dcterms:created>
  <dcterms:modified xsi:type="dcterms:W3CDTF">2012-06-25T15:53:00Z</dcterms:modified>
</cp:coreProperties>
</file>