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5C92" w14:textId="77777777" w:rsidR="00EE0647" w:rsidRPr="00EE0647" w:rsidRDefault="00EE0647" w:rsidP="00EE0647">
      <w:pPr>
        <w:spacing w:before="100" w:beforeAutospacing="1" w:after="100" w:afterAutospacing="1" w:line="240" w:lineRule="auto"/>
        <w:textAlignment w:val="baseline"/>
        <w:rPr>
          <w:rFonts w:eastAsia="Times New Roman" w:cs="Arial"/>
          <w:b/>
          <w:bCs/>
          <w:sz w:val="28"/>
          <w:szCs w:val="28"/>
          <w:lang w:val="es-ES"/>
        </w:rPr>
      </w:pPr>
      <w:bookmarkStart w:id="0" w:name="_Hlk183046731"/>
      <w:bookmarkStart w:id="1" w:name="_Hlk183048326"/>
      <w:r w:rsidRPr="00EE0647">
        <w:rPr>
          <w:b/>
          <w:sz w:val="28"/>
          <w:lang w:val="es-ES"/>
        </w:rPr>
        <w:t>Denominación del proyecto:</w:t>
      </w:r>
    </w:p>
    <w:p w14:paraId="02E66077" w14:textId="09F554E1" w:rsidR="006F2196" w:rsidRPr="00EE0647" w:rsidRDefault="006F2196" w:rsidP="006F2196">
      <w:pPr>
        <w:rPr>
          <w:lang w:val="es-ES"/>
        </w:rPr>
      </w:pPr>
      <w:r>
        <w:rPr>
          <w:highlight w:val="yellow"/>
          <w:lang w:val="es-ES"/>
        </w:rPr>
        <w:t xml:space="preserve">Servicio de Soporte Técnico Informático para GIZ México – N.º de </w:t>
      </w:r>
      <w:r w:rsidRPr="003535B7">
        <w:rPr>
          <w:highlight w:val="yellow"/>
          <w:lang w:val="es-ES"/>
        </w:rPr>
        <w:t xml:space="preserve">transacción: </w:t>
      </w:r>
      <w:r w:rsidR="003535B7" w:rsidRPr="003535B7">
        <w:rPr>
          <w:highlight w:val="yellow"/>
          <w:lang w:val="es-ES"/>
        </w:rPr>
        <w:t>7000016722</w:t>
      </w:r>
    </w:p>
    <w:p w14:paraId="68303D9E" w14:textId="77777777" w:rsidR="00EE0647" w:rsidRPr="00EE0647" w:rsidRDefault="00EE0647" w:rsidP="00EE0647">
      <w:pPr>
        <w:pStyle w:val="ISMSTitel"/>
        <w:rPr>
          <w:rFonts w:ascii="Times New Roman" w:hAnsi="Times New Roman" w:cs="Times New Roman"/>
          <w:sz w:val="24"/>
          <w:szCs w:val="24"/>
          <w:lang w:val="es-ES"/>
        </w:rPr>
      </w:pPr>
      <w:r w:rsidRPr="00EE0647">
        <w:rPr>
          <w:lang w:val="es-ES"/>
        </w:rPr>
        <w:t>Anexo sobre seguridad de la información</w:t>
      </w:r>
      <w:bookmarkEnd w:id="0"/>
    </w:p>
    <w:p w14:paraId="1DB8CA8A" w14:textId="77777777" w:rsidR="00EE0647" w:rsidRPr="00EE0647" w:rsidRDefault="00EE0647" w:rsidP="003535B7">
      <w:pPr>
        <w:jc w:val="both"/>
        <w:rPr>
          <w:rFonts w:eastAsia="Arial" w:cs="Arial"/>
          <w:lang w:val="es-ES"/>
        </w:rPr>
      </w:pPr>
      <w:bookmarkStart w:id="2" w:name="_Hlk183046752"/>
      <w:r w:rsidRPr="00EE0647">
        <w:rPr>
          <w:lang w:val="es-ES"/>
        </w:rPr>
        <w:t xml:space="preserve">La Deutsche </w:t>
      </w:r>
      <w:proofErr w:type="spellStart"/>
      <w:r w:rsidRPr="00EE0647">
        <w:rPr>
          <w:lang w:val="es-ES"/>
        </w:rPr>
        <w:t>Gesellschaft</w:t>
      </w:r>
      <w:proofErr w:type="spellEnd"/>
      <w:r w:rsidRPr="00EE0647">
        <w:rPr>
          <w:lang w:val="es-ES"/>
        </w:rPr>
        <w:t xml:space="preserve"> </w:t>
      </w:r>
      <w:proofErr w:type="spellStart"/>
      <w:r w:rsidRPr="00EE0647">
        <w:rPr>
          <w:lang w:val="es-ES"/>
        </w:rPr>
        <w:t>für</w:t>
      </w:r>
      <w:proofErr w:type="spellEnd"/>
      <w:r w:rsidRPr="00EE0647">
        <w:rPr>
          <w:lang w:val="es-ES"/>
        </w:rPr>
        <w:t xml:space="preserve"> </w:t>
      </w:r>
      <w:proofErr w:type="spellStart"/>
      <w:r w:rsidRPr="00EE0647">
        <w:rPr>
          <w:lang w:val="es-ES"/>
        </w:rPr>
        <w:t>Internationale</w:t>
      </w:r>
      <w:proofErr w:type="spellEnd"/>
      <w:r w:rsidRPr="00EE0647">
        <w:rPr>
          <w:lang w:val="es-ES"/>
        </w:rPr>
        <w:t xml:space="preserve"> </w:t>
      </w:r>
      <w:proofErr w:type="spellStart"/>
      <w:r w:rsidRPr="00EE0647">
        <w:rPr>
          <w:lang w:val="es-ES"/>
        </w:rPr>
        <w:t>Zusammenarbeit</w:t>
      </w:r>
      <w:proofErr w:type="spellEnd"/>
      <w:r w:rsidRPr="00EE0647">
        <w:rPr>
          <w:lang w:val="es-ES"/>
        </w:rPr>
        <w:t xml:space="preserve"> (GIZ) </w:t>
      </w:r>
      <w:proofErr w:type="spellStart"/>
      <w:r w:rsidRPr="00EE0647">
        <w:rPr>
          <w:lang w:val="es-ES"/>
        </w:rPr>
        <w:t>GmbH</w:t>
      </w:r>
      <w:proofErr w:type="spellEnd"/>
      <w:r w:rsidRPr="00EE0647">
        <w:rPr>
          <w:lang w:val="es-ES"/>
        </w:rPr>
        <w:t xml:space="preserve"> opera un sistema de gestión de la seguridad de la información (SGSI) y tiene previsto realizar una certificación conforme a la norma ISO/IEC 27001, </w:t>
      </w:r>
      <w:r w:rsidRPr="00EE0647">
        <w:rPr>
          <w:color w:val="000000" w:themeColor="text1"/>
          <w:lang w:val="es-ES"/>
        </w:rPr>
        <w:t>así como mantener esta certificación. En el marco de dicha certificación se implementa la versión actual de la citada norma.</w:t>
      </w:r>
    </w:p>
    <w:p w14:paraId="741266FE" w14:textId="553ED870" w:rsidR="00B371ED" w:rsidRPr="00EE0647" w:rsidRDefault="00EE0647" w:rsidP="003535B7">
      <w:pPr>
        <w:jc w:val="both"/>
        <w:rPr>
          <w:lang w:val="es-ES" w:eastAsia="de-DE"/>
        </w:rPr>
      </w:pPr>
      <w:r w:rsidRPr="00EE0647">
        <w:rPr>
          <w:lang w:val="es-ES"/>
        </w:rPr>
        <w:t>En la realización de las prestaciones se aplican las siguientes disposiciones sobre seguridad de la información</w:t>
      </w:r>
      <w:bookmarkEnd w:id="1"/>
      <w:bookmarkEnd w:id="2"/>
      <w:r w:rsidR="00B371ED" w:rsidRPr="00EE0647">
        <w:rPr>
          <w:lang w:val="es-ES" w:eastAsia="de-DE"/>
        </w:rPr>
        <w:t>:</w:t>
      </w:r>
    </w:p>
    <w:p w14:paraId="3D2879B3" w14:textId="77777777" w:rsidR="00EE0647" w:rsidRDefault="00EE0647" w:rsidP="003535B7">
      <w:pPr>
        <w:pStyle w:val="ISMSEbene1"/>
        <w:jc w:val="both"/>
      </w:pPr>
      <w:bookmarkStart w:id="3" w:name="_Hlk183134825"/>
      <w:bookmarkStart w:id="4" w:name="_Hlk183134595"/>
      <w:proofErr w:type="spellStart"/>
      <w:r>
        <w:t>Tratamiento</w:t>
      </w:r>
      <w:proofErr w:type="spellEnd"/>
      <w:r>
        <w:t xml:space="preserve"> de </w:t>
      </w:r>
      <w:proofErr w:type="spellStart"/>
      <w:r>
        <w:t>información</w:t>
      </w:r>
      <w:proofErr w:type="spellEnd"/>
      <w:r>
        <w:t xml:space="preserve"> </w:t>
      </w:r>
      <w:proofErr w:type="spellStart"/>
      <w:r>
        <w:t>confidencial</w:t>
      </w:r>
      <w:proofErr w:type="spellEnd"/>
    </w:p>
    <w:p w14:paraId="54D193C7" w14:textId="77777777" w:rsidR="00EE0647" w:rsidRPr="00EE0647" w:rsidRDefault="00EE0647" w:rsidP="003535B7">
      <w:pPr>
        <w:jc w:val="both"/>
        <w:rPr>
          <w:lang w:val="es-ES"/>
        </w:rPr>
      </w:pPr>
      <w:r w:rsidRPr="00EE0647">
        <w:rPr>
          <w:lang w:val="es-ES"/>
        </w:rPr>
        <w:t xml:space="preserve">Todos los datos y demás informaciones relacionados con la orden, como, por ejemplo, la documentación entregada y la información intercambiada, de los que hubieren tomado conocimiento la parte contratista y sus </w:t>
      </w:r>
      <w:proofErr w:type="gramStart"/>
      <w:r w:rsidRPr="00EE0647">
        <w:rPr>
          <w:lang w:val="es-ES"/>
        </w:rPr>
        <w:t>colaboradores y colaboradoras</w:t>
      </w:r>
      <w:proofErr w:type="gramEnd"/>
      <w:r w:rsidRPr="00EE0647">
        <w:rPr>
          <w:lang w:val="es-ES"/>
        </w:rPr>
        <w:t xml:space="preserve"> durante la ejecución contractual deberán ser tratados confidencialmente durante y después del período de vigencia del contrato. Además, se aplicará el principio según el cual esta información solo se hará accesible y se dará a conocer a aquellas personas para las que tal información sea imprescindible para el cumplimiento de las tareas que se les hayan encomendado (principio de conocimiento solo en caso necesario (principio de </w:t>
      </w:r>
      <w:proofErr w:type="spellStart"/>
      <w:r w:rsidRPr="00EE0647">
        <w:rPr>
          <w:i/>
          <w:iCs/>
          <w:lang w:val="es-ES"/>
        </w:rPr>
        <w:t>need</w:t>
      </w:r>
      <w:proofErr w:type="spellEnd"/>
      <w:r w:rsidRPr="00EE0647">
        <w:rPr>
          <w:i/>
          <w:iCs/>
          <w:lang w:val="es-ES"/>
        </w:rPr>
        <w:t xml:space="preserve"> </w:t>
      </w:r>
      <w:proofErr w:type="spellStart"/>
      <w:r w:rsidRPr="00EE0647">
        <w:rPr>
          <w:i/>
          <w:iCs/>
          <w:lang w:val="es-ES"/>
        </w:rPr>
        <w:t>to</w:t>
      </w:r>
      <w:proofErr w:type="spellEnd"/>
      <w:r w:rsidRPr="00EE0647">
        <w:rPr>
          <w:i/>
          <w:iCs/>
          <w:lang w:val="es-ES"/>
        </w:rPr>
        <w:t xml:space="preserve"> </w:t>
      </w:r>
      <w:proofErr w:type="spellStart"/>
      <w:r w:rsidRPr="00EE0647">
        <w:rPr>
          <w:i/>
          <w:iCs/>
          <w:lang w:val="es-ES"/>
        </w:rPr>
        <w:t>know</w:t>
      </w:r>
      <w:proofErr w:type="spellEnd"/>
      <w:r w:rsidRPr="00EE0647">
        <w:rPr>
          <w:lang w:val="es-ES"/>
        </w:rPr>
        <w:t>)). Esto será de aplicación incluso cuando dicha documentación o información no se haya definido explícitamente como secreta o confidencial. La parte contratista no permitirá el acceso de terceros a cualesquiera documentos y resultados del trabajo, en particular a los informes, si no cuenta con la autorización previa en forma de texto de la GIZ. El comitente superior también será considerado como tercero a efectos de lo estipulado en el presente apartado. Tampoco estará permitida la utilización de tales datos e informaciones para fines propios de la parte contratista.</w:t>
      </w:r>
    </w:p>
    <w:p w14:paraId="071F2BA3" w14:textId="77777777" w:rsidR="00EE0647" w:rsidRDefault="00EE0647" w:rsidP="003535B7">
      <w:pPr>
        <w:pStyle w:val="ISMSEbene1"/>
        <w:jc w:val="both"/>
      </w:pPr>
      <w:proofErr w:type="spellStart"/>
      <w:r>
        <w:t>Disposición</w:t>
      </w:r>
      <w:proofErr w:type="spellEnd"/>
      <w:r>
        <w:t xml:space="preserve"> </w:t>
      </w:r>
      <w:proofErr w:type="spellStart"/>
      <w:r>
        <w:t>relativa</w:t>
      </w:r>
      <w:proofErr w:type="spellEnd"/>
      <w:r>
        <w:t xml:space="preserve"> a los </w:t>
      </w:r>
      <w:proofErr w:type="spellStart"/>
      <w:r>
        <w:t>subcontratistas</w:t>
      </w:r>
      <w:proofErr w:type="spellEnd"/>
    </w:p>
    <w:p w14:paraId="51D9C6BC" w14:textId="77777777" w:rsidR="00EE0647" w:rsidRPr="00EE0647" w:rsidRDefault="00EE0647" w:rsidP="003535B7">
      <w:pPr>
        <w:jc w:val="both"/>
        <w:rPr>
          <w:lang w:val="es-ES"/>
        </w:rPr>
      </w:pPr>
      <w:r w:rsidRPr="00EE0647">
        <w:rPr>
          <w:lang w:val="es-ES"/>
        </w:rPr>
        <w:t>La parte contratista solo podrá adjudicar órdenes a proveedores cualificados y competentes respecto a los cuales no existan dudas sobre su fiabilidad, en condiciones competitivas y siguiendo criterios de eficiencia económica. En este proceso, la parte contratista deberá atender a la transparencia, la igualdad de trato, la aptitud de los oferentes y la sostenibilidad. Siempre que sea posible, deberá solicitar al menos tres ofertas.</w:t>
      </w:r>
    </w:p>
    <w:p w14:paraId="2AA9EED1" w14:textId="77777777" w:rsidR="00EE0647" w:rsidRPr="00EE0647" w:rsidRDefault="00EE0647" w:rsidP="003535B7">
      <w:pPr>
        <w:jc w:val="both"/>
        <w:rPr>
          <w:lang w:val="es-ES"/>
        </w:rPr>
      </w:pPr>
      <w:r w:rsidRPr="00EE0647">
        <w:rPr>
          <w:lang w:val="es-ES"/>
        </w:rPr>
        <w:t>En las prestaciones de suministro y de servicios, una vez alcanzado el umbral de la UE aplicable en materia de adjudicación de contratos públicos, se aplicará la Ley alemana de defensa contra las restricciones de la competencia (GWB, por sus siglas en alemán) y el Reglamento General de Contratación (</w:t>
      </w:r>
      <w:proofErr w:type="spellStart"/>
      <w:r w:rsidRPr="00EE0647">
        <w:rPr>
          <w:lang w:val="es-ES"/>
        </w:rPr>
        <w:t>VgV</w:t>
      </w:r>
      <w:proofErr w:type="spellEnd"/>
      <w:r w:rsidRPr="00EE0647">
        <w:rPr>
          <w:lang w:val="es-ES"/>
        </w:rPr>
        <w:t xml:space="preserve">, por sus siglas en alemán), en su versión vigente en cada momento, si la parte contratista realiza las adquisiciones dentro del Espacio Económico Europeo. En el caso de adquisiciones fuera del Espacio Económico Europeo, estas regulaciones se aplicarán </w:t>
      </w:r>
      <w:r w:rsidRPr="00EE0647">
        <w:rPr>
          <w:i/>
          <w:iCs/>
          <w:lang w:val="es-ES"/>
        </w:rPr>
        <w:t>mutatis mutandis</w:t>
      </w:r>
      <w:r w:rsidRPr="00EE0647">
        <w:rPr>
          <w:lang w:val="es-ES"/>
        </w:rPr>
        <w:t>.</w:t>
      </w:r>
    </w:p>
    <w:p w14:paraId="543B9D91" w14:textId="77777777" w:rsidR="00EE0647" w:rsidRPr="00EE0647" w:rsidRDefault="00EE0647" w:rsidP="003535B7">
      <w:pPr>
        <w:jc w:val="both"/>
        <w:rPr>
          <w:lang w:val="es-ES"/>
        </w:rPr>
      </w:pPr>
      <w:r w:rsidRPr="00EE0647">
        <w:rPr>
          <w:lang w:val="es-ES"/>
        </w:rPr>
        <w:t xml:space="preserve">En el caso de que se subcontraten prestaciones, esto no afectará a las obligaciones de la parte contratista. Cualquier subcontratación a terceros de prestaciones por parte de la parte contratista requerirá el consentimiento previo en forma de texto por parte de la GIZ, salvo que se trate de prestaciones que la parte contratista deba adquirir conforme a lo estipulado en el </w:t>
      </w:r>
      <w:r w:rsidRPr="00EE0647">
        <w:rPr>
          <w:lang w:val="es-ES"/>
        </w:rPr>
        <w:lastRenderedPageBreak/>
        <w:t>contrato. La parte contratista se asegurará de que la parte subcontratista que haya contratado se comprometa a respetar las disposiciones establecidas en las presentes cláusulas contractuales.</w:t>
      </w:r>
    </w:p>
    <w:p w14:paraId="0E18B51F" w14:textId="77777777" w:rsidR="00EE0647" w:rsidRDefault="00EE0647" w:rsidP="003535B7">
      <w:pPr>
        <w:pStyle w:val="ISMSEbene1"/>
        <w:jc w:val="both"/>
      </w:pPr>
      <w:proofErr w:type="spellStart"/>
      <w:r>
        <w:t>Notificación</w:t>
      </w:r>
      <w:proofErr w:type="spellEnd"/>
      <w:r>
        <w:t xml:space="preserve"> de </w:t>
      </w:r>
      <w:proofErr w:type="spellStart"/>
      <w:r>
        <w:t>incidentes</w:t>
      </w:r>
      <w:proofErr w:type="spellEnd"/>
      <w:r>
        <w:t xml:space="preserve"> de </w:t>
      </w:r>
      <w:proofErr w:type="spellStart"/>
      <w:r>
        <w:t>seguridad</w:t>
      </w:r>
      <w:proofErr w:type="spellEnd"/>
    </w:p>
    <w:p w14:paraId="64E919E3" w14:textId="77777777" w:rsidR="00EE0647" w:rsidRPr="00EE0647" w:rsidRDefault="00EE0647" w:rsidP="003535B7">
      <w:pPr>
        <w:jc w:val="both"/>
        <w:rPr>
          <w:lang w:val="es-ES"/>
        </w:rPr>
      </w:pPr>
      <w:r w:rsidRPr="00EE0647">
        <w:rPr>
          <w:lang w:val="es-ES"/>
        </w:rPr>
        <w:t>La parte contratista informará a la GIZ (</w:t>
      </w:r>
      <w:proofErr w:type="spellStart"/>
      <w:r w:rsidRPr="00EE0647">
        <w:rPr>
          <w:lang w:val="es-ES"/>
        </w:rPr>
        <w:t>informationsecuritymanagement@giz.de</w:t>
      </w:r>
      <w:proofErr w:type="spellEnd"/>
      <w:r w:rsidRPr="00EE0647">
        <w:rPr>
          <w:lang w:val="es-ES"/>
        </w:rPr>
        <w:t>) sin dilación y de forma apropiada sobre cualquier incidente de seguridad de la información que (también) afecte a información de la GIZ.</w:t>
      </w:r>
    </w:p>
    <w:p w14:paraId="5D92F912" w14:textId="77777777" w:rsidR="00EE0647" w:rsidRPr="00EE0647" w:rsidRDefault="00EE0647" w:rsidP="003535B7">
      <w:pPr>
        <w:jc w:val="both"/>
        <w:rPr>
          <w:lang w:val="es-ES"/>
        </w:rPr>
      </w:pPr>
      <w:r w:rsidRPr="00EE0647">
        <w:rPr>
          <w:lang w:val="es-ES"/>
        </w:rPr>
        <w:t>Un incidente de seguridad de la información es un evento que puede inducir o que ya ha inducido un efecto negativo en la seguridad de la información, como, por ejemplo, la consulta / la comunicación de información no autorizadas (pérdida de confidencialidad), la modificación de información (pérdida de integridad) o la eliminación de información / la obstaculización del acceso a información (pérdida de disponibilidad).</w:t>
      </w:r>
    </w:p>
    <w:p w14:paraId="6A6A1F0C" w14:textId="77777777" w:rsidR="00EE0647" w:rsidRPr="00EE0647" w:rsidRDefault="00EE0647" w:rsidP="003535B7">
      <w:pPr>
        <w:pStyle w:val="ISMSEbene1"/>
        <w:jc w:val="both"/>
        <w:rPr>
          <w:lang w:val="es-ES"/>
        </w:rPr>
      </w:pPr>
      <w:r w:rsidRPr="00EE0647">
        <w:rPr>
          <w:lang w:val="es-ES"/>
        </w:rPr>
        <w:t>Conservación de la documentación relacionada con la GIZ y finalización del contrato</w:t>
      </w:r>
    </w:p>
    <w:p w14:paraId="043604B3" w14:textId="77777777" w:rsidR="00EE0647" w:rsidRPr="00EE0647" w:rsidRDefault="00EE0647" w:rsidP="003535B7">
      <w:pPr>
        <w:jc w:val="both"/>
        <w:rPr>
          <w:lang w:val="es-ES"/>
        </w:rPr>
      </w:pPr>
      <w:r w:rsidRPr="00EE0647">
        <w:rPr>
          <w:lang w:val="es-ES"/>
        </w:rPr>
        <w:t>Por un período de diez años contados a partir de la recepción del informe final y/o de la obra, la parte contratista estará obligada a conservar los documentos relacionados con la orden y los resultados del trabajo, incluida la documentación financiera. Tales documentos deberán entregarse a la GIZ a requerimiento de esta.</w:t>
      </w:r>
    </w:p>
    <w:p w14:paraId="275F0BBD" w14:textId="77777777" w:rsidR="00EE0647" w:rsidRPr="00EE0647" w:rsidRDefault="00EE0647" w:rsidP="003535B7">
      <w:pPr>
        <w:jc w:val="both"/>
        <w:rPr>
          <w:lang w:val="es-ES"/>
        </w:rPr>
      </w:pPr>
      <w:r w:rsidRPr="00EE0647">
        <w:rPr>
          <w:lang w:val="es-ES"/>
        </w:rPr>
        <w:t xml:space="preserve">En el momento en que finalice el contrato, la parte contratista deberá entregar, sin que medie solicitud y sin dilación, cualesquiera otros documentos, medios auxiliares, materiales u objetos que la parte contratista haya recibido de la GIZ sin haberse convenido una cesión permanente. Esto también será de aplicación para todas las copias. </w:t>
      </w:r>
    </w:p>
    <w:p w14:paraId="04521ACB" w14:textId="77777777" w:rsidR="00EE0647" w:rsidRPr="00EE0647" w:rsidRDefault="00EE0647" w:rsidP="003535B7">
      <w:pPr>
        <w:jc w:val="both"/>
        <w:rPr>
          <w:lang w:val="es-ES"/>
        </w:rPr>
      </w:pPr>
      <w:r w:rsidRPr="00EE0647">
        <w:rPr>
          <w:lang w:val="es-ES"/>
        </w:rPr>
        <w:t xml:space="preserve">En los casos antes mencionados, la entrega deberá efectuarse mediante un procedimiento definido por la GIZ. La GIZ también tendrá derecho a requerir, total o parcialmente, la supresión segura (es decir, no </w:t>
      </w:r>
      <w:proofErr w:type="spellStart"/>
      <w:r w:rsidRPr="00EE0647">
        <w:rPr>
          <w:lang w:val="es-ES"/>
        </w:rPr>
        <w:t>reconstruíble</w:t>
      </w:r>
      <w:proofErr w:type="spellEnd"/>
      <w:r w:rsidRPr="00EE0647">
        <w:rPr>
          <w:lang w:val="es-ES"/>
        </w:rPr>
        <w:t>) o la destrucción. La supresión y el método de supresión empleado deberán acreditarse ante la GIZ, a requerimiento de esta, por ejemplo, mediante una declaración por escrito. No se abonará ningún tipo de retribución adicional.</w:t>
      </w:r>
    </w:p>
    <w:p w14:paraId="5CDA9C03" w14:textId="77777777" w:rsidR="00EE0647" w:rsidRPr="00EE0647" w:rsidRDefault="00EE0647" w:rsidP="003535B7">
      <w:pPr>
        <w:jc w:val="both"/>
        <w:rPr>
          <w:lang w:val="es-ES"/>
        </w:rPr>
      </w:pPr>
      <w:r w:rsidRPr="00EE0647">
        <w:rPr>
          <w:lang w:val="es-ES"/>
        </w:rPr>
        <w:t>La presente disposición no afectará a las obligaciones y los plazos de conservación establecidos por la ley.</w:t>
      </w:r>
    </w:p>
    <w:p w14:paraId="499FF6C1" w14:textId="77777777" w:rsidR="00EE0647" w:rsidRPr="00EE0647" w:rsidRDefault="00EE0647" w:rsidP="003535B7">
      <w:pPr>
        <w:pStyle w:val="ISMSEbene1"/>
        <w:jc w:val="both"/>
        <w:rPr>
          <w:lang w:val="es-ES"/>
        </w:rPr>
      </w:pPr>
      <w:r w:rsidRPr="00EE0647">
        <w:rPr>
          <w:lang w:val="es-ES"/>
        </w:rPr>
        <w:t>Cualificación y requerimientos de los expertos o expertas asignados</w:t>
      </w:r>
    </w:p>
    <w:p w14:paraId="18CA37E3" w14:textId="77777777" w:rsidR="00EE0647" w:rsidRPr="00EE0647" w:rsidRDefault="00EE0647" w:rsidP="003535B7">
      <w:pPr>
        <w:jc w:val="both"/>
        <w:rPr>
          <w:lang w:val="es-ES"/>
        </w:rPr>
      </w:pPr>
      <w:r w:rsidRPr="00EE0647">
        <w:rPr>
          <w:lang w:val="es-ES"/>
        </w:rPr>
        <w:t xml:space="preserve">La parte contratista tendrá la obligación de asignar solo expertos o expertas que sean fiables y capaces de cumplir las tareas encomendadas, posean los conocimientos técnicos y del país necesarios, estén debidamente informados sobre la situación de seguridad en el país de asignación y estén preparados para dicha situación. La parte contratista se asegurará de que </w:t>
      </w:r>
      <w:proofErr w:type="gramStart"/>
      <w:r w:rsidRPr="00EE0647">
        <w:rPr>
          <w:lang w:val="es-ES"/>
        </w:rPr>
        <w:t>los expertos y expertas</w:t>
      </w:r>
      <w:proofErr w:type="gramEnd"/>
      <w:r w:rsidRPr="00EE0647">
        <w:rPr>
          <w:lang w:val="es-ES"/>
        </w:rPr>
        <w:t xml:space="preserve"> asignados estén adecuadamente informados sobre las disposiciones contractuales relativas a la seguridad de la información. Si se ha acordado que la parte contratista o </w:t>
      </w:r>
      <w:proofErr w:type="gramStart"/>
      <w:r w:rsidRPr="00EE0647">
        <w:rPr>
          <w:lang w:val="es-ES"/>
        </w:rPr>
        <w:t>los expertos y expertas</w:t>
      </w:r>
      <w:proofErr w:type="gramEnd"/>
      <w:r w:rsidRPr="00EE0647">
        <w:rPr>
          <w:lang w:val="es-ES"/>
        </w:rPr>
        <w:t xml:space="preserve"> asignados por ella participen en cursos preparatorios especiales, el período de dicha preparación no se considerará como período de asignación.</w:t>
      </w:r>
    </w:p>
    <w:p w14:paraId="20CEB6EA" w14:textId="77777777" w:rsidR="00EE0647" w:rsidRDefault="00EE0647" w:rsidP="003535B7">
      <w:pPr>
        <w:pStyle w:val="ISMSEbene1"/>
        <w:jc w:val="both"/>
      </w:pPr>
      <w:proofErr w:type="spellStart"/>
      <w:r>
        <w:t>Acceso</w:t>
      </w:r>
      <w:proofErr w:type="spellEnd"/>
      <w:r>
        <w:t xml:space="preserve"> a </w:t>
      </w:r>
      <w:proofErr w:type="spellStart"/>
      <w:r>
        <w:t>información</w:t>
      </w:r>
      <w:proofErr w:type="spellEnd"/>
      <w:r>
        <w:t xml:space="preserve"> </w:t>
      </w:r>
    </w:p>
    <w:p w14:paraId="354BF25F" w14:textId="77777777" w:rsidR="00EE0647" w:rsidRPr="00EE0647" w:rsidRDefault="00EE0647" w:rsidP="003535B7">
      <w:pPr>
        <w:jc w:val="both"/>
        <w:rPr>
          <w:lang w:val="es-ES"/>
        </w:rPr>
      </w:pPr>
      <w:r w:rsidRPr="00EE0647">
        <w:rPr>
          <w:lang w:val="es-ES"/>
        </w:rPr>
        <w:t xml:space="preserve">La parte contratista podrá acceder únicamente a la información especificada en el marco de la realización de la prestación de forma analógica o a través de accesos técnicos. </w:t>
      </w:r>
    </w:p>
    <w:p w14:paraId="3D9DE54D" w14:textId="77777777" w:rsidR="00EE0647" w:rsidRPr="00EE0647" w:rsidRDefault="00EE0647" w:rsidP="003535B7">
      <w:pPr>
        <w:jc w:val="both"/>
        <w:rPr>
          <w:lang w:val="es-ES"/>
        </w:rPr>
      </w:pPr>
      <w:r w:rsidRPr="00EE0647">
        <w:rPr>
          <w:lang w:val="es-ES"/>
        </w:rPr>
        <w:lastRenderedPageBreak/>
        <w:t>Queda prohibido el acceso a áreas e informaciones diferentes de las especificadas.</w:t>
      </w:r>
    </w:p>
    <w:p w14:paraId="6D729D0D" w14:textId="77777777" w:rsidR="00EE0647" w:rsidRPr="00EE0647" w:rsidRDefault="00EE0647" w:rsidP="003535B7">
      <w:pPr>
        <w:jc w:val="both"/>
        <w:rPr>
          <w:lang w:val="es-ES"/>
        </w:rPr>
      </w:pPr>
      <w:r w:rsidRPr="00EE0647">
        <w:rPr>
          <w:lang w:val="es-ES"/>
        </w:rPr>
        <w:t xml:space="preserve">La GIZ determinará, en caso necesario, la forma en que la parte contratista deberá tratar los metadatos (atendiendo al principio de confidencialidad y al principio de conocimiento solo en caso necesario (principio de </w:t>
      </w:r>
      <w:proofErr w:type="spellStart"/>
      <w:r w:rsidRPr="00EE0647">
        <w:rPr>
          <w:i/>
          <w:iCs/>
          <w:lang w:val="es-ES"/>
        </w:rPr>
        <w:t>need</w:t>
      </w:r>
      <w:proofErr w:type="spellEnd"/>
      <w:r w:rsidRPr="00EE0647">
        <w:rPr>
          <w:i/>
          <w:iCs/>
          <w:lang w:val="es-ES"/>
        </w:rPr>
        <w:t xml:space="preserve"> </w:t>
      </w:r>
      <w:proofErr w:type="spellStart"/>
      <w:r w:rsidRPr="00EE0647">
        <w:rPr>
          <w:i/>
          <w:iCs/>
          <w:lang w:val="es-ES"/>
        </w:rPr>
        <w:t>to</w:t>
      </w:r>
      <w:proofErr w:type="spellEnd"/>
      <w:r w:rsidRPr="00EE0647">
        <w:rPr>
          <w:i/>
          <w:iCs/>
          <w:lang w:val="es-ES"/>
        </w:rPr>
        <w:t xml:space="preserve"> </w:t>
      </w:r>
      <w:proofErr w:type="spellStart"/>
      <w:r w:rsidRPr="00EE0647">
        <w:rPr>
          <w:i/>
          <w:iCs/>
          <w:lang w:val="es-ES"/>
        </w:rPr>
        <w:t>know</w:t>
      </w:r>
      <w:proofErr w:type="spellEnd"/>
      <w:r w:rsidRPr="00EE0647">
        <w:rPr>
          <w:lang w:val="es-ES"/>
        </w:rPr>
        <w:t>)).</w:t>
      </w:r>
    </w:p>
    <w:p w14:paraId="60FFF302" w14:textId="77777777" w:rsidR="00EE0647" w:rsidRDefault="00EE0647" w:rsidP="003535B7">
      <w:pPr>
        <w:pStyle w:val="ISMSEbene1"/>
        <w:jc w:val="both"/>
      </w:pPr>
      <w:r>
        <w:t>Uso de terminales</w:t>
      </w:r>
    </w:p>
    <w:p w14:paraId="3936D74C" w14:textId="561A7429" w:rsidR="00A91B04" w:rsidRPr="00EE0647" w:rsidRDefault="00EE0647" w:rsidP="003535B7">
      <w:pPr>
        <w:jc w:val="both"/>
        <w:rPr>
          <w:lang w:val="es-ES"/>
        </w:rPr>
      </w:pPr>
      <w:r w:rsidRPr="00EE0647">
        <w:rPr>
          <w:lang w:val="es-ES"/>
        </w:rPr>
        <w:t>En caso de uso de terminales en el marco de la ejecución de la orden, la parte contratista garantizará que el lugar de dicho uso sea seguro y que los terminales no puedan ser usados por terceros no autorizados. Se deberá garantizar, además, que ningún tercero no autorizado pueda acceder a la información relacionada con la GIZ (por ejemplo, mediante filtros de privacidad</w:t>
      </w:r>
      <w:bookmarkEnd w:id="3"/>
      <w:r w:rsidRPr="00EE0647">
        <w:rPr>
          <w:lang w:val="es-ES"/>
        </w:rPr>
        <w:t>)</w:t>
      </w:r>
      <w:bookmarkEnd w:id="4"/>
      <w:r w:rsidR="00A91B04" w:rsidRPr="00EE0647">
        <w:rPr>
          <w:lang w:val="es-ES"/>
        </w:rPr>
        <w:t>.</w:t>
      </w:r>
    </w:p>
    <w:p w14:paraId="334FC446" w14:textId="2BE12ABF" w:rsidR="00EE0647" w:rsidRPr="00EE0647" w:rsidRDefault="00EE0647" w:rsidP="003535B7">
      <w:pPr>
        <w:pStyle w:val="ISMSEbene1"/>
        <w:jc w:val="both"/>
        <w:rPr>
          <w:lang w:val="es-ES"/>
        </w:rPr>
      </w:pPr>
      <w:bookmarkStart w:id="5" w:name="_Hlk183050112"/>
      <w:bookmarkStart w:id="6" w:name="_Hlk183050048"/>
      <w:bookmarkStart w:id="7" w:name="_Hlk183134266"/>
      <w:bookmarkStart w:id="8" w:name="_Hlk183133893"/>
      <w:r w:rsidRPr="00EE0647">
        <w:rPr>
          <w:lang w:val="es-ES"/>
        </w:rPr>
        <w:t>Lugar de realización de la prestación</w:t>
      </w:r>
      <w:bookmarkEnd w:id="5"/>
    </w:p>
    <w:p w14:paraId="6EE33C32" w14:textId="77777777" w:rsidR="00B87975" w:rsidRDefault="00EE0647" w:rsidP="003535B7">
      <w:pPr>
        <w:jc w:val="both"/>
        <w:rPr>
          <w:lang w:val="es-ES"/>
        </w:rPr>
      </w:pPr>
      <w:bookmarkStart w:id="9" w:name="_Hlk183050144"/>
      <w:r w:rsidRPr="00EE0647">
        <w:rPr>
          <w:lang w:val="es-ES"/>
        </w:rPr>
        <w:t xml:space="preserve">La prestación no podrá ser realizada desde los lugares siguientes: </w:t>
      </w:r>
      <w:bookmarkEnd w:id="6"/>
      <w:bookmarkEnd w:id="7"/>
      <w:bookmarkEnd w:id="9"/>
    </w:p>
    <w:p w14:paraId="0075E7A4" w14:textId="1E893038" w:rsidR="006F2196" w:rsidRPr="00B87975" w:rsidRDefault="006F2196" w:rsidP="003535B7">
      <w:pPr>
        <w:jc w:val="both"/>
        <w:rPr>
          <w:lang w:val="es-ES"/>
        </w:rPr>
      </w:pPr>
      <w:r w:rsidRPr="00B87975">
        <w:rPr>
          <w:lang w:val="es-ES"/>
        </w:rPr>
        <w:t xml:space="preserve">No aplica restricción de lugar específica. </w:t>
      </w:r>
    </w:p>
    <w:p w14:paraId="520770CA" w14:textId="77777777" w:rsidR="00EE0647" w:rsidRPr="00EE0647" w:rsidRDefault="00EE0647" w:rsidP="003535B7">
      <w:pPr>
        <w:pStyle w:val="ISMSEbene1"/>
        <w:jc w:val="both"/>
        <w:rPr>
          <w:lang w:val="es-ES"/>
        </w:rPr>
      </w:pPr>
      <w:bookmarkStart w:id="10" w:name="_Hlk183046905"/>
      <w:bookmarkStart w:id="11" w:name="_Hlk183049873"/>
      <w:r w:rsidRPr="00EE0647">
        <w:rPr>
          <w:lang w:val="es-ES"/>
        </w:rPr>
        <w:t>Aplicación de la protección básica de TI de la Oficina Federal para la Seguridad de las Tecnologías de la Información (BSI) de Alemania</w:t>
      </w:r>
    </w:p>
    <w:p w14:paraId="027EE2B5" w14:textId="77777777" w:rsidR="00EE0647" w:rsidRPr="00EE0647" w:rsidRDefault="00EE0647" w:rsidP="003535B7">
      <w:pPr>
        <w:jc w:val="both"/>
        <w:rPr>
          <w:lang w:val="es-ES"/>
        </w:rPr>
      </w:pPr>
      <w:r w:rsidRPr="00EE0647">
        <w:rPr>
          <w:lang w:val="es-ES"/>
        </w:rPr>
        <w:t xml:space="preserve">Durante el período íntegro de prestación, la parte contratista deberá aplicar en la protección estándar los requisitos de la protección básica de TI de la Oficina Federal para la Seguridad de las Tecnologías de la Información (BSI) de Alemania (www.bsi.de), en su versión actualmente vigente, en relación con la prestación que se prevé realizar, la información tratada durante la prestación del servicio y las aplicaciones y sistemas de TI utilizados para tal fin. </w:t>
      </w:r>
    </w:p>
    <w:p w14:paraId="58CBEDC1" w14:textId="77777777" w:rsidR="00EE0647" w:rsidRDefault="00EE0647" w:rsidP="003535B7">
      <w:pPr>
        <w:pStyle w:val="ISMSEbene1"/>
        <w:jc w:val="both"/>
      </w:pPr>
      <w:bookmarkStart w:id="12" w:name="_Hlk183049047"/>
      <w:bookmarkStart w:id="13" w:name="_Hlk183050210"/>
      <w:proofErr w:type="spellStart"/>
      <w:r>
        <w:t>Derecho</w:t>
      </w:r>
      <w:proofErr w:type="spellEnd"/>
      <w:r>
        <w:t xml:space="preserve"> de </w:t>
      </w:r>
      <w:proofErr w:type="spellStart"/>
      <w:r>
        <w:t>auditoría</w:t>
      </w:r>
      <w:proofErr w:type="spellEnd"/>
    </w:p>
    <w:p w14:paraId="226CE134" w14:textId="77777777" w:rsidR="00EE0647" w:rsidRPr="00EE0647" w:rsidRDefault="00EE0647" w:rsidP="003535B7">
      <w:pPr>
        <w:jc w:val="both"/>
        <w:rPr>
          <w:lang w:val="es-ES"/>
        </w:rPr>
      </w:pPr>
      <w:bookmarkStart w:id="14" w:name="_Hlk183041520"/>
      <w:r w:rsidRPr="00EE0647">
        <w:rPr>
          <w:lang w:val="es-ES"/>
        </w:rPr>
        <w:t>Durante el período íntegro de ejecución del proyecto, la parte contratista otorga a la GIZ el derecho a llevar a cabo exámenes relativos a la seguridad de la información tratada por la parte contratista.</w:t>
      </w:r>
    </w:p>
    <w:p w14:paraId="46085B70" w14:textId="77777777" w:rsidR="00EE0647" w:rsidRPr="00EE0647" w:rsidRDefault="00EE0647" w:rsidP="003535B7">
      <w:pPr>
        <w:jc w:val="both"/>
        <w:rPr>
          <w:lang w:val="es-ES"/>
        </w:rPr>
      </w:pPr>
      <w:r w:rsidRPr="00EE0647">
        <w:rPr>
          <w:lang w:val="es-ES"/>
        </w:rPr>
        <w:t>Por norma general, el examen se realizará como máximo una vez al año, salvo que exista algún motivo especial que justifique otro proceder. Antes de realizar un examen de este tipo, la GIZ comunicará (con la debida antelación) el objeto inicial y el alcance previsto del examen en cuestión, a fin de que la parte contratista pueda planificar en consecuencia.</w:t>
      </w:r>
    </w:p>
    <w:p w14:paraId="49A89F78" w14:textId="77777777" w:rsidR="00EE0647" w:rsidRPr="00EE0647" w:rsidRDefault="00EE0647" w:rsidP="003535B7">
      <w:pPr>
        <w:jc w:val="both"/>
        <w:rPr>
          <w:lang w:val="es-ES"/>
        </w:rPr>
      </w:pPr>
      <w:r w:rsidRPr="00EE0647">
        <w:rPr>
          <w:lang w:val="es-ES"/>
        </w:rPr>
        <w:t xml:space="preserve">En el marco de la realización de la prestación por parte de la parte contratista, la GIZ tendrá derecho a realizar auditorías de la prestación ya realizada, incluidos los componentes infraestructurales, organizativos, técnicos y de personal necesarios para ello. La GIZ también podrá ejercer este derecho de auditoría a través de terceros contratados por ella. </w:t>
      </w:r>
    </w:p>
    <w:p w14:paraId="64FA98E1" w14:textId="77777777" w:rsidR="00EE0647" w:rsidRPr="00EE0647" w:rsidRDefault="00EE0647" w:rsidP="003535B7">
      <w:pPr>
        <w:jc w:val="both"/>
        <w:rPr>
          <w:lang w:val="es-ES"/>
        </w:rPr>
      </w:pPr>
      <w:r w:rsidRPr="00EE0647">
        <w:rPr>
          <w:lang w:val="es-ES"/>
        </w:rPr>
        <w:t>Los gastos para la parte contratista derivados del acompañamiento / de la realización de los exámenes por parte de la GIZ no se retribuirán apar</w:t>
      </w:r>
      <w:bookmarkEnd w:id="10"/>
      <w:r w:rsidRPr="00EE0647">
        <w:rPr>
          <w:lang w:val="es-ES"/>
        </w:rPr>
        <w:t>te</w:t>
      </w:r>
      <w:bookmarkEnd w:id="12"/>
      <w:bookmarkEnd w:id="14"/>
      <w:r w:rsidRPr="00EE0647">
        <w:rPr>
          <w:lang w:val="es-ES"/>
        </w:rPr>
        <w:t>.</w:t>
      </w:r>
    </w:p>
    <w:p w14:paraId="1C97AA5F" w14:textId="77777777" w:rsidR="00EE0647" w:rsidRPr="00EE0647" w:rsidRDefault="00EE0647" w:rsidP="003535B7">
      <w:pPr>
        <w:pStyle w:val="ISMSEbene1"/>
        <w:jc w:val="both"/>
        <w:rPr>
          <w:lang w:val="es-ES"/>
        </w:rPr>
      </w:pPr>
      <w:bookmarkStart w:id="15" w:name="_Hlk183041688"/>
      <w:bookmarkStart w:id="16" w:name="_Hlk183049406"/>
      <w:r w:rsidRPr="00EE0647">
        <w:rPr>
          <w:lang w:val="es-ES"/>
        </w:rPr>
        <w:t>Requisitos mínimos de medios de autenticación / contraseñas</w:t>
      </w:r>
      <w:bookmarkEnd w:id="15"/>
    </w:p>
    <w:p w14:paraId="016FCF10" w14:textId="77777777" w:rsidR="00EE0647" w:rsidRPr="00EE0647" w:rsidRDefault="00EE0647" w:rsidP="003535B7">
      <w:pPr>
        <w:jc w:val="both"/>
        <w:rPr>
          <w:lang w:val="es-ES"/>
        </w:rPr>
      </w:pPr>
      <w:bookmarkStart w:id="17" w:name="_Hlk183041729"/>
      <w:r w:rsidRPr="00EE0647">
        <w:rPr>
          <w:lang w:val="es-ES"/>
        </w:rPr>
        <w:t>La parte contratista deberá cumplir como mínimo los requisitos siguientes relativos a la calidad de las contraseñas para todas las cuentas mediante las que se accede / se puede acceder a datos de la GIZ:</w:t>
      </w:r>
    </w:p>
    <w:p w14:paraId="39675667" w14:textId="77777777" w:rsidR="00EE0647" w:rsidRPr="00EE0647" w:rsidRDefault="00EE0647" w:rsidP="003535B7">
      <w:pPr>
        <w:pStyle w:val="Listenabsatz"/>
        <w:numPr>
          <w:ilvl w:val="0"/>
          <w:numId w:val="24"/>
        </w:numPr>
        <w:spacing w:before="120" w:after="200" w:line="264" w:lineRule="auto"/>
        <w:jc w:val="both"/>
        <w:rPr>
          <w:lang w:val="es-ES"/>
        </w:rPr>
      </w:pPr>
      <w:r w:rsidRPr="00EE0647">
        <w:rPr>
          <w:lang w:val="es-ES"/>
        </w:rPr>
        <w:lastRenderedPageBreak/>
        <w:t xml:space="preserve">Las contraseñas deben tener una longitud de al menos 10 caracteres; para las cuentas privilegiadas, de al menos 16 caracteres. </w:t>
      </w:r>
    </w:p>
    <w:p w14:paraId="4C6A9319" w14:textId="77777777" w:rsidR="00EE0647" w:rsidRPr="00EE0647" w:rsidRDefault="00EE0647" w:rsidP="003535B7">
      <w:pPr>
        <w:pStyle w:val="Listenabsatz"/>
        <w:numPr>
          <w:ilvl w:val="0"/>
          <w:numId w:val="24"/>
        </w:numPr>
        <w:spacing w:before="120" w:after="200" w:line="264" w:lineRule="auto"/>
        <w:jc w:val="both"/>
        <w:rPr>
          <w:lang w:val="es-ES"/>
        </w:rPr>
      </w:pPr>
      <w:r w:rsidRPr="00EE0647">
        <w:rPr>
          <w:lang w:val="es-ES"/>
        </w:rPr>
        <w:t>Las contraseñas para cuentas técnicas deben tener una longitud de al menos 20 caracteres si no se puede garantizar el cambio regular de contraseña (p. ej., a través de las cuentas de servicio administradas (</w:t>
      </w:r>
      <w:proofErr w:type="spellStart"/>
      <w:r w:rsidRPr="00EE0647">
        <w:rPr>
          <w:i/>
          <w:iCs/>
          <w:lang w:val="es-ES"/>
        </w:rPr>
        <w:t>managed</w:t>
      </w:r>
      <w:proofErr w:type="spellEnd"/>
      <w:r w:rsidRPr="00EE0647">
        <w:rPr>
          <w:i/>
          <w:iCs/>
          <w:lang w:val="es-ES"/>
        </w:rPr>
        <w:t xml:space="preserve"> </w:t>
      </w:r>
      <w:proofErr w:type="spellStart"/>
      <w:r w:rsidRPr="00EE0647">
        <w:rPr>
          <w:i/>
          <w:iCs/>
          <w:lang w:val="es-ES"/>
        </w:rPr>
        <w:t>service</w:t>
      </w:r>
      <w:proofErr w:type="spellEnd"/>
      <w:r w:rsidRPr="00EE0647">
        <w:rPr>
          <w:i/>
          <w:iCs/>
          <w:lang w:val="es-ES"/>
        </w:rPr>
        <w:t xml:space="preserve"> </w:t>
      </w:r>
      <w:proofErr w:type="spellStart"/>
      <w:r w:rsidRPr="00EE0647">
        <w:rPr>
          <w:i/>
          <w:iCs/>
          <w:lang w:val="es-ES"/>
        </w:rPr>
        <w:t>accounts</w:t>
      </w:r>
      <w:proofErr w:type="spellEnd"/>
      <w:r w:rsidRPr="00EE0647">
        <w:rPr>
          <w:lang w:val="es-ES"/>
        </w:rPr>
        <w:t xml:space="preserve"> o MSA)). </w:t>
      </w:r>
    </w:p>
    <w:p w14:paraId="2F99F7AE" w14:textId="77777777" w:rsidR="00EE0647" w:rsidRPr="00EE0647" w:rsidRDefault="00EE0647" w:rsidP="003535B7">
      <w:pPr>
        <w:pStyle w:val="Listenabsatz"/>
        <w:numPr>
          <w:ilvl w:val="0"/>
          <w:numId w:val="24"/>
        </w:numPr>
        <w:spacing w:before="120" w:after="200" w:line="264" w:lineRule="auto"/>
        <w:jc w:val="both"/>
        <w:rPr>
          <w:lang w:val="es-ES"/>
        </w:rPr>
      </w:pPr>
      <w:r w:rsidRPr="00EE0647">
        <w:rPr>
          <w:lang w:val="es-ES"/>
        </w:rPr>
        <w:t xml:space="preserve">La contraseña debe constar de 3 de los 4 elementos siguientes: </w:t>
      </w:r>
      <w:proofErr w:type="gramStart"/>
      <w:r w:rsidRPr="00EE0647">
        <w:rPr>
          <w:lang w:val="es-ES"/>
        </w:rPr>
        <w:t>letras mayúsculas (de la “A” a la “Z”), letras minúsculas (de la “a” a la “z”), cifras (del 0 al 9) y caracteres especiales (p. ej., !</w:t>
      </w:r>
      <w:proofErr w:type="gramEnd"/>
      <w:r w:rsidRPr="00EE0647">
        <w:rPr>
          <w:lang w:val="es-ES"/>
        </w:rPr>
        <w:t xml:space="preserve">, $, #, %). </w:t>
      </w:r>
    </w:p>
    <w:p w14:paraId="40BFA0A2" w14:textId="77777777" w:rsidR="00EE0647" w:rsidRPr="00EE0647" w:rsidRDefault="00EE0647" w:rsidP="003535B7">
      <w:pPr>
        <w:pStyle w:val="Listenabsatz"/>
        <w:numPr>
          <w:ilvl w:val="0"/>
          <w:numId w:val="24"/>
        </w:numPr>
        <w:spacing w:before="120" w:after="200" w:line="264" w:lineRule="auto"/>
        <w:jc w:val="both"/>
        <w:rPr>
          <w:lang w:val="es-ES"/>
        </w:rPr>
      </w:pPr>
      <w:r w:rsidRPr="00EE0647">
        <w:rPr>
          <w:lang w:val="es-ES"/>
        </w:rPr>
        <w:t xml:space="preserve">No se deben usar contraseñas fáciles de adivinar. </w:t>
      </w:r>
    </w:p>
    <w:p w14:paraId="12823933" w14:textId="77777777" w:rsidR="00EE0647" w:rsidRPr="00EE0647" w:rsidRDefault="00EE0647" w:rsidP="003535B7">
      <w:pPr>
        <w:pStyle w:val="Listenabsatz"/>
        <w:numPr>
          <w:ilvl w:val="0"/>
          <w:numId w:val="24"/>
        </w:numPr>
        <w:spacing w:before="120" w:after="200" w:line="264" w:lineRule="auto"/>
        <w:jc w:val="both"/>
        <w:rPr>
          <w:lang w:val="es-ES"/>
        </w:rPr>
      </w:pPr>
      <w:r w:rsidRPr="00EE0647">
        <w:rPr>
          <w:lang w:val="es-ES"/>
        </w:rPr>
        <w:t xml:space="preserve">Las contraseñas no deben ser idénticas a una de las últimas 10 contraseñas utilizadas. </w:t>
      </w:r>
    </w:p>
    <w:p w14:paraId="28D924E8" w14:textId="77777777" w:rsidR="00EE0647" w:rsidRPr="00EE0647" w:rsidRDefault="00EE0647" w:rsidP="003535B7">
      <w:pPr>
        <w:pStyle w:val="Listenabsatz"/>
        <w:numPr>
          <w:ilvl w:val="0"/>
          <w:numId w:val="24"/>
        </w:numPr>
        <w:spacing w:before="120" w:after="200" w:line="264" w:lineRule="auto"/>
        <w:jc w:val="both"/>
        <w:rPr>
          <w:lang w:val="es-ES"/>
        </w:rPr>
      </w:pPr>
      <w:r w:rsidRPr="00EE0647">
        <w:rPr>
          <w:lang w:val="es-ES"/>
        </w:rPr>
        <w:t>Las contraseñas se deben cambiar regularmente</w:t>
      </w:r>
      <w:bookmarkEnd w:id="17"/>
      <w:r w:rsidRPr="00EE0647">
        <w:rPr>
          <w:lang w:val="es-ES"/>
        </w:rPr>
        <w:t>.</w:t>
      </w:r>
    </w:p>
    <w:p w14:paraId="2D69A7C8" w14:textId="77777777" w:rsidR="00EE0647" w:rsidRPr="00EE0647" w:rsidRDefault="00EE0647" w:rsidP="003535B7">
      <w:pPr>
        <w:jc w:val="both"/>
        <w:rPr>
          <w:lang w:val="es-ES"/>
        </w:rPr>
      </w:pPr>
      <w:bookmarkStart w:id="18" w:name="_Hlk183041750"/>
      <w:r w:rsidRPr="00EE0647">
        <w:rPr>
          <w:lang w:val="es-ES"/>
        </w:rPr>
        <w:t xml:space="preserve">Para las cuentas con autorizaciones administrativas se deberá utilizar una autenticación </w:t>
      </w:r>
      <w:proofErr w:type="spellStart"/>
      <w:r w:rsidRPr="00EE0647">
        <w:rPr>
          <w:lang w:val="es-ES"/>
        </w:rPr>
        <w:t>multifactor</w:t>
      </w:r>
      <w:proofErr w:type="spellEnd"/>
      <w:r w:rsidRPr="00EE0647">
        <w:rPr>
          <w:lang w:val="es-ES"/>
        </w:rPr>
        <w:t xml:space="preserve"> (de al menos dos factores)</w:t>
      </w:r>
      <w:bookmarkEnd w:id="18"/>
      <w:r w:rsidRPr="00EE0647">
        <w:rPr>
          <w:lang w:val="es-ES"/>
        </w:rPr>
        <w:t>.</w:t>
      </w:r>
    </w:p>
    <w:p w14:paraId="495672C8" w14:textId="77777777" w:rsidR="00EE0647" w:rsidRPr="00EE0647" w:rsidRDefault="00EE0647" w:rsidP="003535B7">
      <w:pPr>
        <w:pStyle w:val="ISMSEbene1"/>
        <w:jc w:val="both"/>
        <w:rPr>
          <w:lang w:val="es-ES"/>
        </w:rPr>
      </w:pPr>
      <w:bookmarkStart w:id="19" w:name="_Hlk183041774"/>
      <w:r w:rsidRPr="00EE0647">
        <w:rPr>
          <w:lang w:val="es-ES"/>
        </w:rPr>
        <w:t>Error de certificado entre los usuarios y usuarias</w:t>
      </w:r>
      <w:bookmarkEnd w:id="19"/>
    </w:p>
    <w:p w14:paraId="147E354E" w14:textId="77777777" w:rsidR="00EE0647" w:rsidRPr="003535B7" w:rsidRDefault="00EE0647" w:rsidP="003535B7">
      <w:pPr>
        <w:jc w:val="both"/>
        <w:rPr>
          <w:lang w:val="es-MX"/>
        </w:rPr>
      </w:pPr>
      <w:bookmarkStart w:id="20" w:name="_Hlk183041796"/>
      <w:r w:rsidRPr="003535B7">
        <w:rPr>
          <w:lang w:val="es-MX"/>
        </w:rPr>
        <w:t>Se deberá garantizar que, al utilizar certificados, no se produzcan errores de certificado</w:t>
      </w:r>
      <w:bookmarkEnd w:id="20"/>
      <w:r w:rsidRPr="003535B7">
        <w:rPr>
          <w:lang w:val="es-MX"/>
        </w:rPr>
        <w:t>.</w:t>
      </w:r>
    </w:p>
    <w:p w14:paraId="48CFB239" w14:textId="77777777" w:rsidR="00EE0647" w:rsidRPr="00EE0647" w:rsidRDefault="00EE0647" w:rsidP="003535B7">
      <w:pPr>
        <w:pStyle w:val="ISMSEbene1"/>
        <w:jc w:val="both"/>
        <w:rPr>
          <w:lang w:val="es-ES"/>
        </w:rPr>
      </w:pPr>
      <w:bookmarkStart w:id="21" w:name="_Hlk183041823"/>
      <w:r w:rsidRPr="00EE0647">
        <w:rPr>
          <w:lang w:val="es-ES"/>
        </w:rPr>
        <w:t>Requisitos mínimos de las copias de seguridad</w:t>
      </w:r>
      <w:bookmarkEnd w:id="21"/>
    </w:p>
    <w:p w14:paraId="62F51A15" w14:textId="77777777" w:rsidR="00EE0647" w:rsidRPr="00EE0647" w:rsidRDefault="00EE0647" w:rsidP="003535B7">
      <w:pPr>
        <w:jc w:val="both"/>
        <w:rPr>
          <w:lang w:val="es-ES"/>
        </w:rPr>
      </w:pPr>
      <w:bookmarkStart w:id="22" w:name="_Hlk183041946"/>
      <w:r w:rsidRPr="00EE0647">
        <w:rPr>
          <w:lang w:val="es-ES"/>
        </w:rPr>
        <w:t>En relación con los datos que deben ser tratados, la parte contratista deberá cumplir los siguientes requisitos en cuanto al procedimiento de copias de seguridad:</w:t>
      </w:r>
    </w:p>
    <w:p w14:paraId="6FF68E9D" w14:textId="77777777" w:rsidR="00EE0647" w:rsidRPr="00EE0647" w:rsidRDefault="00EE0647" w:rsidP="003535B7">
      <w:pPr>
        <w:pStyle w:val="Listenabsatz"/>
        <w:numPr>
          <w:ilvl w:val="0"/>
          <w:numId w:val="25"/>
        </w:numPr>
        <w:spacing w:before="120" w:after="200" w:line="264" w:lineRule="auto"/>
        <w:jc w:val="both"/>
        <w:rPr>
          <w:lang w:val="es-ES"/>
        </w:rPr>
      </w:pPr>
      <w:r w:rsidRPr="00EE0647">
        <w:rPr>
          <w:lang w:val="es-ES"/>
        </w:rPr>
        <w:t xml:space="preserve">A partir de las copias de seguridad, los componentes / aplicaciones necesarios para la prestación realizada deben poder restablecerse íntegramente conforme a los parámetros indicados: </w:t>
      </w:r>
    </w:p>
    <w:p w14:paraId="60CA07F5" w14:textId="77777777" w:rsidR="00EE0647" w:rsidRPr="00EE0647" w:rsidRDefault="00EE0647" w:rsidP="003535B7">
      <w:pPr>
        <w:pStyle w:val="Listenabsatz"/>
        <w:numPr>
          <w:ilvl w:val="1"/>
          <w:numId w:val="25"/>
        </w:numPr>
        <w:spacing w:before="120" w:after="200" w:line="264" w:lineRule="auto"/>
        <w:jc w:val="both"/>
        <w:rPr>
          <w:lang w:val="es-ES"/>
        </w:rPr>
      </w:pPr>
      <w:r w:rsidRPr="00EE0647">
        <w:rPr>
          <w:lang w:val="es-ES"/>
        </w:rPr>
        <w:t>Frecuencia con que se realizarán las copias de seguridad (objetivo de punto de recuperación (</w:t>
      </w:r>
      <w:proofErr w:type="spellStart"/>
      <w:r w:rsidRPr="00EE0647">
        <w:rPr>
          <w:i/>
          <w:iCs/>
          <w:lang w:val="es-ES"/>
        </w:rPr>
        <w:t>recovery</w:t>
      </w:r>
      <w:proofErr w:type="spellEnd"/>
      <w:r w:rsidRPr="00EE0647">
        <w:rPr>
          <w:i/>
          <w:iCs/>
          <w:lang w:val="es-ES"/>
        </w:rPr>
        <w:t xml:space="preserve"> </w:t>
      </w:r>
      <w:proofErr w:type="spellStart"/>
      <w:r w:rsidRPr="00EE0647">
        <w:rPr>
          <w:i/>
          <w:iCs/>
          <w:lang w:val="es-ES"/>
        </w:rPr>
        <w:t>point</w:t>
      </w:r>
      <w:proofErr w:type="spellEnd"/>
      <w:r w:rsidRPr="00EE0647">
        <w:rPr>
          <w:i/>
          <w:iCs/>
          <w:lang w:val="es-ES"/>
        </w:rPr>
        <w:t xml:space="preserve"> </w:t>
      </w:r>
      <w:proofErr w:type="spellStart"/>
      <w:r w:rsidRPr="00EE0647">
        <w:rPr>
          <w:i/>
          <w:iCs/>
          <w:lang w:val="es-ES"/>
        </w:rPr>
        <w:t>objective</w:t>
      </w:r>
      <w:proofErr w:type="spellEnd"/>
      <w:r w:rsidRPr="00EE0647">
        <w:rPr>
          <w:lang w:val="es-ES"/>
        </w:rPr>
        <w:t xml:space="preserve"> o RPO)): al menos cada 7 días.</w:t>
      </w:r>
    </w:p>
    <w:p w14:paraId="41A023A3" w14:textId="77777777" w:rsidR="00EE0647" w:rsidRPr="00EE0647" w:rsidRDefault="00EE0647" w:rsidP="003535B7">
      <w:pPr>
        <w:pStyle w:val="Listenabsatz"/>
        <w:numPr>
          <w:ilvl w:val="1"/>
          <w:numId w:val="25"/>
        </w:numPr>
        <w:spacing w:before="120" w:after="200" w:line="264" w:lineRule="auto"/>
        <w:jc w:val="both"/>
        <w:rPr>
          <w:lang w:val="es-ES"/>
        </w:rPr>
      </w:pPr>
      <w:r w:rsidRPr="00EE0647">
        <w:rPr>
          <w:lang w:val="es-ES"/>
        </w:rPr>
        <w:t>Plazo para el restablecimiento de todos los componentes / aplicaciones técnicos ((objetivo de tiempo de recuperación (</w:t>
      </w:r>
      <w:proofErr w:type="spellStart"/>
      <w:r w:rsidRPr="00EE0647">
        <w:rPr>
          <w:i/>
          <w:iCs/>
          <w:lang w:val="es-ES"/>
        </w:rPr>
        <w:t>recovery</w:t>
      </w:r>
      <w:proofErr w:type="spellEnd"/>
      <w:r w:rsidRPr="00EE0647">
        <w:rPr>
          <w:i/>
          <w:iCs/>
          <w:lang w:val="es-ES"/>
        </w:rPr>
        <w:t xml:space="preserve"> time </w:t>
      </w:r>
      <w:proofErr w:type="spellStart"/>
      <w:r w:rsidRPr="00EE0647">
        <w:rPr>
          <w:i/>
          <w:iCs/>
          <w:lang w:val="es-ES"/>
        </w:rPr>
        <w:t>objective</w:t>
      </w:r>
      <w:proofErr w:type="spellEnd"/>
      <w:r w:rsidRPr="00EE0647">
        <w:rPr>
          <w:lang w:val="es-ES"/>
        </w:rPr>
        <w:t xml:space="preserve"> o RTO)): como máximo 48 horas.</w:t>
      </w:r>
    </w:p>
    <w:p w14:paraId="3783F1B1" w14:textId="77777777" w:rsidR="00EE0647" w:rsidRPr="00EE0647" w:rsidRDefault="00EE0647" w:rsidP="003535B7">
      <w:pPr>
        <w:pStyle w:val="Listenabsatz"/>
        <w:numPr>
          <w:ilvl w:val="1"/>
          <w:numId w:val="25"/>
        </w:numPr>
        <w:spacing w:before="120" w:after="200" w:line="264" w:lineRule="auto"/>
        <w:jc w:val="both"/>
        <w:rPr>
          <w:lang w:val="es-ES"/>
        </w:rPr>
      </w:pPr>
      <w:r w:rsidRPr="00EE0647">
        <w:rPr>
          <w:lang w:val="es-ES"/>
        </w:rPr>
        <w:t xml:space="preserve">Tiempo de conservación de las copias de seguridad: al menos 21 días. </w:t>
      </w:r>
    </w:p>
    <w:p w14:paraId="5BDBE618" w14:textId="77777777" w:rsidR="00EE0647" w:rsidRPr="00EE0647" w:rsidRDefault="00EE0647" w:rsidP="003535B7">
      <w:pPr>
        <w:pStyle w:val="Listenabsatz"/>
        <w:numPr>
          <w:ilvl w:val="0"/>
          <w:numId w:val="25"/>
        </w:numPr>
        <w:spacing w:before="120" w:after="200" w:line="264" w:lineRule="auto"/>
        <w:jc w:val="both"/>
        <w:rPr>
          <w:lang w:val="es-ES"/>
        </w:rPr>
      </w:pPr>
      <w:r w:rsidRPr="00EE0647">
        <w:rPr>
          <w:lang w:val="es-ES"/>
        </w:rPr>
        <w:t>Los componentes técnicos y la ubicación de almacenamiento de la copia de seguridad deben encontrarse al menos en dos zonas de protección contra incendios diferentes</w:t>
      </w:r>
      <w:bookmarkEnd w:id="22"/>
      <w:r w:rsidRPr="00EE0647">
        <w:rPr>
          <w:lang w:val="es-ES"/>
        </w:rPr>
        <w:t xml:space="preserve">. </w:t>
      </w:r>
    </w:p>
    <w:p w14:paraId="1E171BE9" w14:textId="1BAF8EE2" w:rsidR="00EE0647" w:rsidRDefault="00EE0647" w:rsidP="003535B7">
      <w:pPr>
        <w:pStyle w:val="ISMSEbene1"/>
        <w:jc w:val="both"/>
      </w:pPr>
      <w:bookmarkStart w:id="23" w:name="_Hlk183041986"/>
      <w:proofErr w:type="spellStart"/>
      <w:r>
        <w:t>Indicadores</w:t>
      </w:r>
      <w:proofErr w:type="spellEnd"/>
      <w:r>
        <w:t xml:space="preserve"> de </w:t>
      </w:r>
      <w:proofErr w:type="spellStart"/>
      <w:r>
        <w:t>desempeño</w:t>
      </w:r>
      <w:bookmarkEnd w:id="23"/>
      <w:proofErr w:type="spellEnd"/>
    </w:p>
    <w:p w14:paraId="7796706A" w14:textId="77777777" w:rsidR="00EE0647" w:rsidRPr="00B87975" w:rsidRDefault="00EE0647" w:rsidP="003535B7">
      <w:pPr>
        <w:jc w:val="both"/>
        <w:rPr>
          <w:lang w:val="es-ES"/>
        </w:rPr>
      </w:pPr>
      <w:bookmarkStart w:id="24" w:name="_Hlk183042547"/>
      <w:r w:rsidRPr="00EE0647">
        <w:rPr>
          <w:lang w:val="es-ES"/>
        </w:rPr>
        <w:t xml:space="preserve">Para la realización de la prestación y los informes se acuerdan los siguientes indicadores de </w:t>
      </w:r>
      <w:r w:rsidRPr="00B87975">
        <w:rPr>
          <w:lang w:val="es-ES"/>
        </w:rPr>
        <w:t>desempeño relevantes en términos de seguridad de la información:</w:t>
      </w:r>
      <w:bookmarkEnd w:id="24"/>
    </w:p>
    <w:p w14:paraId="7980B611" w14:textId="05D6C77C" w:rsidR="006F2196" w:rsidRDefault="006F2196" w:rsidP="003535B7">
      <w:pPr>
        <w:jc w:val="both"/>
        <w:rPr>
          <w:lang w:val="es-MX"/>
        </w:rPr>
      </w:pPr>
      <w:bookmarkStart w:id="25" w:name="_Hlk183042961"/>
      <w:r w:rsidRPr="00B87975">
        <w:rPr>
          <w:lang w:val="es-MX"/>
        </w:rPr>
        <w:t>Los indicadores de desempeño se acordarán entre GIZ y la parte contratista conforme a lo establecido en los Términos de Referencia</w:t>
      </w:r>
      <w:r w:rsidR="00465531" w:rsidRPr="00B87975">
        <w:rPr>
          <w:lang w:val="es-MX"/>
        </w:rPr>
        <w:t xml:space="preserve"> y</w:t>
      </w:r>
      <w:r w:rsidRPr="00B87975">
        <w:rPr>
          <w:lang w:val="es-MX"/>
        </w:rPr>
        <w:t xml:space="preserve"> del contrato.</w:t>
      </w:r>
    </w:p>
    <w:p w14:paraId="11D78394" w14:textId="2EA7E173" w:rsidR="00EE0647" w:rsidRPr="00EE0647" w:rsidRDefault="00EE0647" w:rsidP="003535B7">
      <w:pPr>
        <w:jc w:val="both"/>
        <w:rPr>
          <w:lang w:val="es-ES"/>
        </w:rPr>
      </w:pPr>
      <w:r w:rsidRPr="00EE0647">
        <w:rPr>
          <w:lang w:val="es-ES"/>
        </w:rPr>
        <w:t xml:space="preserve">Durante todo el período de ejecución del proyecto, a petición de la GIZ, se deberá facilitar un informe (como máximo semestral) sobre seguridad de la información cuyo contenido concertarán la GIZ y la parte contratista. </w:t>
      </w:r>
    </w:p>
    <w:p w14:paraId="13DF916C" w14:textId="77777777" w:rsidR="00EE0647" w:rsidRPr="00EE0647" w:rsidRDefault="00EE0647" w:rsidP="003535B7">
      <w:pPr>
        <w:jc w:val="both"/>
        <w:rPr>
          <w:lang w:val="es-ES"/>
        </w:rPr>
      </w:pPr>
      <w:r w:rsidRPr="00EE0647">
        <w:rPr>
          <w:lang w:val="es-ES"/>
        </w:rPr>
        <w:t>En caso de incumplimiento de los indicadores de desempeño descritos la GIZ podrá, con arreglo a las disposiciones legales, reclamar daños y perjuicios o reducir la retribución</w:t>
      </w:r>
      <w:bookmarkEnd w:id="25"/>
      <w:r w:rsidRPr="00EE0647">
        <w:rPr>
          <w:lang w:val="es-ES"/>
        </w:rPr>
        <w:t>.</w:t>
      </w:r>
    </w:p>
    <w:p w14:paraId="02DA88BF" w14:textId="77777777" w:rsidR="00EE0647" w:rsidRDefault="00EE0647" w:rsidP="003535B7">
      <w:pPr>
        <w:pStyle w:val="ISMSEbene1"/>
        <w:jc w:val="both"/>
      </w:pPr>
      <w:bookmarkStart w:id="26" w:name="_Hlk183043000"/>
      <w:r>
        <w:lastRenderedPageBreak/>
        <w:t xml:space="preserve">SGSI de la </w:t>
      </w:r>
      <w:proofErr w:type="spellStart"/>
      <w:r>
        <w:t>parte</w:t>
      </w:r>
      <w:proofErr w:type="spellEnd"/>
      <w:r>
        <w:t xml:space="preserve"> </w:t>
      </w:r>
      <w:proofErr w:type="spellStart"/>
      <w:r>
        <w:t>contratista</w:t>
      </w:r>
      <w:bookmarkEnd w:id="26"/>
      <w:proofErr w:type="spellEnd"/>
    </w:p>
    <w:p w14:paraId="14BCB6D2" w14:textId="77777777" w:rsidR="00EE0647" w:rsidRPr="00EE0647" w:rsidRDefault="00EE0647" w:rsidP="003535B7">
      <w:pPr>
        <w:jc w:val="both"/>
        <w:rPr>
          <w:lang w:val="es-ES"/>
        </w:rPr>
      </w:pPr>
      <w:bookmarkStart w:id="27" w:name="_Hlk183043064"/>
      <w:bookmarkStart w:id="28" w:name="_Hlk183043370"/>
      <w:r w:rsidRPr="00EE0647">
        <w:rPr>
          <w:lang w:val="es-ES"/>
        </w:rPr>
        <w:t>La parte contratista deberá disponer de un sistema de gestión de la seguridad de la información (SGSI) adecuado, documentado e implementado que cumpla la norma ISO/IEC 27001:2022 (o las versiones posteriores actuales) u otra norma comparable. El SGSI deberá incluir la prestación que está previsto realizar, incluida la información a tratar, con los componentes infraestructurales, organizativos, técnicos y de personal necesarios.</w:t>
      </w:r>
    </w:p>
    <w:p w14:paraId="26BE48F2" w14:textId="77777777" w:rsidR="00EE0647" w:rsidRPr="00EE0647" w:rsidRDefault="00EE0647" w:rsidP="003535B7">
      <w:pPr>
        <w:jc w:val="both"/>
        <w:rPr>
          <w:lang w:val="es-ES"/>
        </w:rPr>
      </w:pPr>
      <w:r w:rsidRPr="00EE0647">
        <w:rPr>
          <w:lang w:val="es-ES"/>
        </w:rPr>
        <w:t>La parte contratista deberá designar a un delegado o delegada para la seguridad de la información (</w:t>
      </w:r>
      <w:r w:rsidRPr="00EE0647">
        <w:rPr>
          <w:i/>
          <w:iCs/>
          <w:lang w:val="es-ES"/>
        </w:rPr>
        <w:t xml:space="preserve">Chief </w:t>
      </w:r>
      <w:proofErr w:type="spellStart"/>
      <w:r w:rsidRPr="00EE0647">
        <w:rPr>
          <w:i/>
          <w:iCs/>
          <w:lang w:val="es-ES"/>
        </w:rPr>
        <w:t>Information</w:t>
      </w:r>
      <w:proofErr w:type="spellEnd"/>
      <w:r w:rsidRPr="00EE0647">
        <w:rPr>
          <w:i/>
          <w:iCs/>
          <w:lang w:val="es-ES"/>
        </w:rPr>
        <w:t xml:space="preserve"> Security Officer</w:t>
      </w:r>
      <w:r w:rsidRPr="00EE0647">
        <w:rPr>
          <w:lang w:val="es-ES"/>
        </w:rPr>
        <w:t>, CISO), que contará con la competencia técnica necesaria y comunicará sus datos de contacto a la GIZ a petición de esta.</w:t>
      </w:r>
    </w:p>
    <w:p w14:paraId="6D012E4C" w14:textId="77777777" w:rsidR="00EE0647" w:rsidRPr="00EE0647" w:rsidRDefault="00EE0647" w:rsidP="003535B7">
      <w:pPr>
        <w:jc w:val="both"/>
        <w:rPr>
          <w:lang w:val="es-ES"/>
        </w:rPr>
      </w:pPr>
      <w:r w:rsidRPr="00EE0647">
        <w:rPr>
          <w:lang w:val="es-ES"/>
        </w:rPr>
        <w:t>La GIZ designará a una persona de contacto como interlocutor único o interlocutora única para todas las cuestiones de la parte contratista relacionadas con la seguridad de la información</w:t>
      </w:r>
      <w:bookmarkEnd w:id="27"/>
      <w:r w:rsidRPr="00EE0647">
        <w:rPr>
          <w:lang w:val="es-ES"/>
        </w:rPr>
        <w:t>.</w:t>
      </w:r>
      <w:bookmarkEnd w:id="28"/>
    </w:p>
    <w:p w14:paraId="615A1743" w14:textId="41154EDF" w:rsidR="00EE0647" w:rsidRPr="00EE0647" w:rsidRDefault="00EE0647" w:rsidP="003535B7">
      <w:pPr>
        <w:pStyle w:val="ISMSEbene1"/>
        <w:jc w:val="both"/>
        <w:rPr>
          <w:lang w:val="es-ES"/>
        </w:rPr>
      </w:pPr>
      <w:bookmarkStart w:id="29" w:name="_Hlk183043440"/>
      <w:r w:rsidRPr="00EE0647">
        <w:rPr>
          <w:lang w:val="es-ES"/>
        </w:rPr>
        <w:t>SGSI certificado de la parte contratista</w:t>
      </w:r>
      <w:bookmarkEnd w:id="29"/>
    </w:p>
    <w:p w14:paraId="583B56B5" w14:textId="04D6A701" w:rsidR="00EE0647" w:rsidRPr="00B87975" w:rsidRDefault="00EE0647" w:rsidP="003535B7">
      <w:pPr>
        <w:jc w:val="both"/>
        <w:rPr>
          <w:lang w:val="es-ES"/>
        </w:rPr>
      </w:pPr>
      <w:bookmarkStart w:id="30" w:name="_Hlk183043512"/>
      <w:bookmarkStart w:id="31" w:name="_Hlk183043489"/>
      <w:r w:rsidRPr="00B87975">
        <w:rPr>
          <w:lang w:val="es-ES"/>
        </w:rPr>
        <w:t xml:space="preserve">El SGSI de la parte contratista </w:t>
      </w:r>
      <w:r w:rsidR="00465531" w:rsidRPr="00B87975">
        <w:rPr>
          <w:lang w:val="es-ES"/>
        </w:rPr>
        <w:t xml:space="preserve">no se pedirá como un requerimiento mandatorio, pero si se solicita en los </w:t>
      </w:r>
      <w:proofErr w:type="spellStart"/>
      <w:r w:rsidR="00465531" w:rsidRPr="00B87975">
        <w:rPr>
          <w:lang w:val="es-ES"/>
        </w:rPr>
        <w:t>TdRs</w:t>
      </w:r>
      <w:proofErr w:type="spellEnd"/>
      <w:r w:rsidR="00465531" w:rsidRPr="00B87975">
        <w:rPr>
          <w:lang w:val="es-ES"/>
        </w:rPr>
        <w:t>, los lineamientos y cumplimiento del SGSI de la GIZ</w:t>
      </w:r>
      <w:r w:rsidRPr="00B87975">
        <w:rPr>
          <w:lang w:val="es-ES"/>
        </w:rPr>
        <w:t xml:space="preserve"> conforme a la norma ISO/IEC 27001</w:t>
      </w:r>
      <w:r w:rsidR="00465531" w:rsidRPr="00B87975">
        <w:rPr>
          <w:lang w:val="es-ES"/>
        </w:rPr>
        <w:t xml:space="preserve"> y</w:t>
      </w:r>
      <w:r w:rsidRPr="00B87975">
        <w:rPr>
          <w:lang w:val="es-ES"/>
        </w:rPr>
        <w:t xml:space="preserve"> la protección </w:t>
      </w:r>
      <w:r w:rsidR="00465531" w:rsidRPr="00B87975">
        <w:rPr>
          <w:lang w:val="es-ES"/>
        </w:rPr>
        <w:t xml:space="preserve">de la infraestructura de </w:t>
      </w:r>
      <w:r w:rsidRPr="00B87975">
        <w:rPr>
          <w:lang w:val="es-ES"/>
        </w:rPr>
        <w:t>TI</w:t>
      </w:r>
      <w:r w:rsidR="00465531" w:rsidRPr="00B87975">
        <w:rPr>
          <w:lang w:val="es-ES"/>
        </w:rPr>
        <w:t>.</w:t>
      </w:r>
      <w:r w:rsidRPr="00B87975">
        <w:rPr>
          <w:lang w:val="es-ES"/>
        </w:rPr>
        <w:t xml:space="preserve"> </w:t>
      </w:r>
    </w:p>
    <w:p w14:paraId="25ADFFA9" w14:textId="77777777" w:rsidR="00EE0647" w:rsidRPr="00465531" w:rsidRDefault="00EE0647" w:rsidP="003535B7">
      <w:pPr>
        <w:pStyle w:val="ISMSEbene1"/>
        <w:jc w:val="both"/>
        <w:rPr>
          <w:lang w:val="es-MX"/>
        </w:rPr>
      </w:pPr>
      <w:bookmarkStart w:id="32" w:name="_Hlk183043551"/>
      <w:bookmarkEnd w:id="30"/>
      <w:bookmarkEnd w:id="31"/>
      <w:r w:rsidRPr="00465531">
        <w:rPr>
          <w:lang w:val="es-MX"/>
        </w:rPr>
        <w:t xml:space="preserve">Gestión de </w:t>
      </w:r>
      <w:proofErr w:type="gramStart"/>
      <w:r w:rsidRPr="00465531">
        <w:rPr>
          <w:lang w:val="es-MX"/>
        </w:rPr>
        <w:t>usuarios y usuarias</w:t>
      </w:r>
      <w:bookmarkEnd w:id="32"/>
      <w:proofErr w:type="gramEnd"/>
    </w:p>
    <w:p w14:paraId="1F35C73F" w14:textId="77777777" w:rsidR="00EE0647" w:rsidRPr="00EE0647" w:rsidRDefault="00EE0647" w:rsidP="003535B7">
      <w:pPr>
        <w:jc w:val="both"/>
        <w:rPr>
          <w:lang w:val="es-ES"/>
        </w:rPr>
      </w:pPr>
      <w:bookmarkStart w:id="33" w:name="_Hlk183043608"/>
      <w:r w:rsidRPr="00EE0647">
        <w:rPr>
          <w:lang w:val="es-ES"/>
        </w:rPr>
        <w:t xml:space="preserve">El SGSI de la parte contratista deberá incluir procedimientos para la adjudicación, modificación, bloqueo, desbloqueo, desactivación y reactivación de cuentas de </w:t>
      </w:r>
      <w:proofErr w:type="gramStart"/>
      <w:r w:rsidRPr="00EE0647">
        <w:rPr>
          <w:lang w:val="es-ES"/>
        </w:rPr>
        <w:t>usuarios y usuarias</w:t>
      </w:r>
      <w:proofErr w:type="gramEnd"/>
      <w:r w:rsidRPr="00EE0647">
        <w:rPr>
          <w:lang w:val="es-ES"/>
        </w:rPr>
        <w:t xml:space="preserve"> (privilegiadas, internas, externas y de otro tipo), así como para la identificación unívoca de personas autorizadas y el restablecimiento de contraseñas.</w:t>
      </w:r>
    </w:p>
    <w:p w14:paraId="6D296EFC" w14:textId="77777777" w:rsidR="00EE0647" w:rsidRPr="00EE0647" w:rsidRDefault="00EE0647" w:rsidP="003535B7">
      <w:pPr>
        <w:jc w:val="both"/>
        <w:rPr>
          <w:lang w:val="es-ES"/>
        </w:rPr>
      </w:pPr>
      <w:r w:rsidRPr="00EE0647">
        <w:rPr>
          <w:lang w:val="es-ES"/>
        </w:rPr>
        <w:t>Estos procedimientos deberán comprender medidas técnicas de protección ante ataques de fuerza bruta (p. ej., bloqueo de cuentas de usuario y usuaria tras varios intentos de autenticación fallidos).</w:t>
      </w:r>
    </w:p>
    <w:p w14:paraId="6993B51A" w14:textId="77777777" w:rsidR="00EE0647" w:rsidRPr="00EE0647" w:rsidRDefault="00EE0647" w:rsidP="003535B7">
      <w:pPr>
        <w:jc w:val="both"/>
        <w:rPr>
          <w:lang w:val="es-ES"/>
        </w:rPr>
      </w:pPr>
      <w:r w:rsidRPr="00EE0647">
        <w:rPr>
          <w:lang w:val="es-ES"/>
        </w:rPr>
        <w:t xml:space="preserve">La parte contratista, en el marco de su SGSI para la gestión de </w:t>
      </w:r>
      <w:proofErr w:type="gramStart"/>
      <w:r w:rsidRPr="00EE0647">
        <w:rPr>
          <w:lang w:val="es-ES"/>
        </w:rPr>
        <w:t>usuarios y usuarias</w:t>
      </w:r>
      <w:proofErr w:type="gramEnd"/>
      <w:r w:rsidRPr="00EE0647">
        <w:rPr>
          <w:lang w:val="es-ES"/>
        </w:rPr>
        <w:t>, deberá asegurar lo siguiente</w:t>
      </w:r>
      <w:bookmarkEnd w:id="33"/>
      <w:r w:rsidRPr="00EE0647">
        <w:rPr>
          <w:lang w:val="es-ES"/>
        </w:rPr>
        <w:t>:</w:t>
      </w:r>
    </w:p>
    <w:p w14:paraId="62979483" w14:textId="77777777" w:rsidR="00EE0647" w:rsidRPr="00EE0647" w:rsidRDefault="00EE0647" w:rsidP="003535B7">
      <w:pPr>
        <w:pStyle w:val="Listenabsatz"/>
        <w:numPr>
          <w:ilvl w:val="2"/>
          <w:numId w:val="27"/>
        </w:numPr>
        <w:spacing w:before="120" w:after="200" w:line="264" w:lineRule="auto"/>
        <w:jc w:val="both"/>
        <w:rPr>
          <w:lang w:val="es-ES"/>
        </w:rPr>
      </w:pPr>
      <w:bookmarkStart w:id="34" w:name="_Hlk183044015"/>
      <w:r w:rsidRPr="00EE0647">
        <w:rPr>
          <w:lang w:val="es-ES"/>
        </w:rPr>
        <w:t xml:space="preserve">Las identificaciones de usuario o usuaria deben desactivarse cuando ya no sean necesarias o dejen de ser necesarias durante más de 6 meses. </w:t>
      </w:r>
    </w:p>
    <w:p w14:paraId="6C295F45" w14:textId="77777777" w:rsidR="00EE0647" w:rsidRPr="00EE0647" w:rsidRDefault="00EE0647" w:rsidP="003535B7">
      <w:pPr>
        <w:pStyle w:val="Listenabsatz"/>
        <w:numPr>
          <w:ilvl w:val="2"/>
          <w:numId w:val="27"/>
        </w:numPr>
        <w:spacing w:before="120" w:after="200" w:line="264" w:lineRule="auto"/>
        <w:jc w:val="both"/>
        <w:rPr>
          <w:lang w:val="es-ES"/>
        </w:rPr>
      </w:pPr>
      <w:r w:rsidRPr="00EE0647">
        <w:rPr>
          <w:lang w:val="es-ES"/>
        </w:rPr>
        <w:t xml:space="preserve">Las identificaciones de usuario o usuaria solo deben eliminarse si, al hacerlo, no se corre el riesgo de que los registros, los archivos de registro u otros tipos de registros existentes ya no puedan asignarse claramente a una persona dentro del período de archivado. </w:t>
      </w:r>
    </w:p>
    <w:p w14:paraId="0A38D9AC" w14:textId="77777777" w:rsidR="00EE0647" w:rsidRPr="00EE0647" w:rsidRDefault="00EE0647" w:rsidP="003535B7">
      <w:pPr>
        <w:pStyle w:val="Listenabsatz"/>
        <w:numPr>
          <w:ilvl w:val="2"/>
          <w:numId w:val="27"/>
        </w:numPr>
        <w:spacing w:before="120" w:after="200" w:line="264" w:lineRule="auto"/>
        <w:jc w:val="both"/>
        <w:rPr>
          <w:lang w:val="es-ES"/>
        </w:rPr>
      </w:pPr>
      <w:r w:rsidRPr="00EE0647">
        <w:rPr>
          <w:lang w:val="es-ES"/>
        </w:rPr>
        <w:t xml:space="preserve">Si se utilizan cuentas no personalizadas de usuario o usuaria (p. ej., cuenta raíz, cuentas de usuario o usuaria para emergencias de TI), mediante las medidas adecuadas debe asegurarse que las actividades realizadas con esa cuenta pueden asignarse (en la medida de lo posible, de forma automatizada) en cualquier momento y sin ninguna duda a la persona que realiza la actividad o a la persona responsable. </w:t>
      </w:r>
    </w:p>
    <w:p w14:paraId="42035BD9" w14:textId="77777777" w:rsidR="00EE0647" w:rsidRDefault="00EE0647" w:rsidP="003535B7">
      <w:pPr>
        <w:pStyle w:val="Listenabsatz"/>
        <w:numPr>
          <w:ilvl w:val="2"/>
          <w:numId w:val="28"/>
        </w:numPr>
        <w:spacing w:before="120" w:after="200" w:line="264" w:lineRule="auto"/>
        <w:jc w:val="both"/>
      </w:pPr>
      <w:r w:rsidRPr="00EE0647">
        <w:rPr>
          <w:lang w:val="es-ES"/>
        </w:rPr>
        <w:t xml:space="preserve">Las cuentas técnicas de usuario o usuaria solamente pueden ser utilizadas por servicios o </w:t>
      </w:r>
      <w:r w:rsidRPr="00EE0647">
        <w:rPr>
          <w:i/>
          <w:iCs/>
          <w:lang w:val="es-ES"/>
        </w:rPr>
        <w:t>scripts</w:t>
      </w:r>
      <w:r w:rsidRPr="00EE0647">
        <w:rPr>
          <w:lang w:val="es-ES"/>
        </w:rPr>
        <w:t xml:space="preserve">. </w:t>
      </w:r>
      <w:r>
        <w:t xml:space="preserve">La </w:t>
      </w:r>
      <w:proofErr w:type="spellStart"/>
      <w:r>
        <w:t>cuenta</w:t>
      </w:r>
      <w:proofErr w:type="spellEnd"/>
      <w:r>
        <w:t xml:space="preserve"> </w:t>
      </w:r>
      <w:proofErr w:type="spellStart"/>
      <w:r>
        <w:t>no</w:t>
      </w:r>
      <w:proofErr w:type="spellEnd"/>
      <w:r>
        <w:t xml:space="preserve"> </w:t>
      </w:r>
      <w:proofErr w:type="spellStart"/>
      <w:r>
        <w:t>podrá</w:t>
      </w:r>
      <w:proofErr w:type="spellEnd"/>
      <w:r>
        <w:t xml:space="preserve"> </w:t>
      </w:r>
      <w:proofErr w:type="spellStart"/>
      <w:r>
        <w:t>ser</w:t>
      </w:r>
      <w:proofErr w:type="spellEnd"/>
      <w:r>
        <w:t xml:space="preserve"> </w:t>
      </w:r>
      <w:proofErr w:type="spellStart"/>
      <w:r>
        <w:t>utilizada</w:t>
      </w:r>
      <w:proofErr w:type="spellEnd"/>
      <w:r>
        <w:t xml:space="preserve"> </w:t>
      </w:r>
      <w:proofErr w:type="spellStart"/>
      <w:r>
        <w:t>por</w:t>
      </w:r>
      <w:proofErr w:type="spellEnd"/>
      <w:r>
        <w:t xml:space="preserve"> </w:t>
      </w:r>
      <w:proofErr w:type="spellStart"/>
      <w:r>
        <w:t>una</w:t>
      </w:r>
      <w:proofErr w:type="spellEnd"/>
      <w:r>
        <w:t xml:space="preserve"> </w:t>
      </w:r>
      <w:proofErr w:type="spellStart"/>
      <w:r>
        <w:t>persona</w:t>
      </w:r>
      <w:proofErr w:type="spellEnd"/>
      <w:r>
        <w:t xml:space="preserve">. </w:t>
      </w:r>
    </w:p>
    <w:p w14:paraId="15E76ECC" w14:textId="77777777" w:rsidR="00EE0647" w:rsidRPr="00EE0647" w:rsidRDefault="00EE0647" w:rsidP="003535B7">
      <w:pPr>
        <w:pStyle w:val="Listenabsatz"/>
        <w:numPr>
          <w:ilvl w:val="2"/>
          <w:numId w:val="28"/>
        </w:numPr>
        <w:spacing w:before="120" w:after="200" w:line="264" w:lineRule="auto"/>
        <w:jc w:val="both"/>
        <w:rPr>
          <w:lang w:val="es-ES"/>
        </w:rPr>
      </w:pPr>
      <w:r w:rsidRPr="00EE0647">
        <w:rPr>
          <w:lang w:val="es-ES"/>
        </w:rPr>
        <w:t xml:space="preserve">Las cuentas técnicas de usuario o usuaria solo pueden configurarse con autorizaciones mínimas conforme al plan estratégico de autorizaciones. Se debe aplicar el principio de derechos mínimos (principio de </w:t>
      </w:r>
      <w:proofErr w:type="spellStart"/>
      <w:r w:rsidRPr="00EE0647">
        <w:rPr>
          <w:i/>
          <w:iCs/>
          <w:lang w:val="es-ES"/>
        </w:rPr>
        <w:t>least</w:t>
      </w:r>
      <w:proofErr w:type="spellEnd"/>
      <w:r w:rsidRPr="00EE0647">
        <w:rPr>
          <w:i/>
          <w:iCs/>
          <w:lang w:val="es-ES"/>
        </w:rPr>
        <w:t xml:space="preserve"> </w:t>
      </w:r>
      <w:proofErr w:type="spellStart"/>
      <w:r w:rsidRPr="00EE0647">
        <w:rPr>
          <w:i/>
          <w:iCs/>
          <w:lang w:val="es-ES"/>
        </w:rPr>
        <w:t>privilege</w:t>
      </w:r>
      <w:proofErr w:type="spellEnd"/>
      <w:r w:rsidRPr="00EE0647">
        <w:rPr>
          <w:lang w:val="es-ES"/>
        </w:rPr>
        <w:t>).</w:t>
      </w:r>
    </w:p>
    <w:p w14:paraId="6A924F37" w14:textId="77777777" w:rsidR="00EE0647" w:rsidRPr="003535B7" w:rsidRDefault="00EE0647" w:rsidP="003535B7">
      <w:pPr>
        <w:pStyle w:val="Listenabsatz"/>
        <w:numPr>
          <w:ilvl w:val="2"/>
          <w:numId w:val="28"/>
        </w:numPr>
        <w:spacing w:before="120" w:after="200" w:line="264" w:lineRule="auto"/>
        <w:jc w:val="both"/>
        <w:rPr>
          <w:lang w:val="es-MX"/>
        </w:rPr>
      </w:pPr>
      <w:r w:rsidRPr="003535B7">
        <w:rPr>
          <w:lang w:val="es-MX"/>
        </w:rPr>
        <w:t xml:space="preserve">Las cuentas privilegiadas de usuario o usuaria únicamente pueden ser utilizadas para actividades administrativas. </w:t>
      </w:r>
    </w:p>
    <w:p w14:paraId="09F5D949" w14:textId="77777777" w:rsidR="00EE0647" w:rsidRPr="00EE0647" w:rsidRDefault="00EE0647" w:rsidP="003535B7">
      <w:pPr>
        <w:pStyle w:val="Listenabsatz"/>
        <w:numPr>
          <w:ilvl w:val="2"/>
          <w:numId w:val="28"/>
        </w:numPr>
        <w:spacing w:before="120" w:after="200" w:line="264" w:lineRule="auto"/>
        <w:jc w:val="both"/>
        <w:rPr>
          <w:lang w:val="es-ES"/>
        </w:rPr>
      </w:pPr>
      <w:r w:rsidRPr="00EE0647">
        <w:rPr>
          <w:lang w:val="es-ES"/>
        </w:rPr>
        <w:lastRenderedPageBreak/>
        <w:t xml:space="preserve">Las cuentas privilegiadas para </w:t>
      </w:r>
      <w:proofErr w:type="gramStart"/>
      <w:r w:rsidRPr="00EE0647">
        <w:rPr>
          <w:lang w:val="es-ES"/>
        </w:rPr>
        <w:t>usuarios y usuarias</w:t>
      </w:r>
      <w:proofErr w:type="gramEnd"/>
      <w:r w:rsidRPr="00EE0647">
        <w:rPr>
          <w:lang w:val="es-ES"/>
        </w:rPr>
        <w:t xml:space="preserve"> externos deben crearse con un plazo de vigencia máximo de 6 meses y, en caso necesario, pueden prorrogarse una vez hayan expirado. </w:t>
      </w:r>
    </w:p>
    <w:p w14:paraId="379D7300" w14:textId="77777777" w:rsidR="00EE0647" w:rsidRDefault="00EE0647" w:rsidP="003535B7">
      <w:pPr>
        <w:pStyle w:val="Listenabsatz"/>
        <w:numPr>
          <w:ilvl w:val="2"/>
          <w:numId w:val="28"/>
        </w:numPr>
        <w:spacing w:before="120" w:after="200" w:line="264" w:lineRule="auto"/>
        <w:jc w:val="both"/>
      </w:pPr>
      <w:r w:rsidRPr="00EE0647">
        <w:rPr>
          <w:lang w:val="es-ES"/>
        </w:rPr>
        <w:t xml:space="preserve">Las cuentas para </w:t>
      </w:r>
      <w:proofErr w:type="gramStart"/>
      <w:r w:rsidRPr="00EE0647">
        <w:rPr>
          <w:lang w:val="es-ES"/>
        </w:rPr>
        <w:t>usuarios y usuarias</w:t>
      </w:r>
      <w:proofErr w:type="gramEnd"/>
      <w:r w:rsidRPr="00EE0647">
        <w:rPr>
          <w:lang w:val="es-ES"/>
        </w:rPr>
        <w:t xml:space="preserve"> externos únicamente pueden concederse por un plazo de vigencia limitado de un año como máximo. El plazo de vigencia debe tomar como base el período de vigencia del contrato del usuario externo o de la usuaria externa. </w:t>
      </w:r>
      <w:r>
        <w:t xml:space="preserve">En </w:t>
      </w:r>
      <w:proofErr w:type="spellStart"/>
      <w:r>
        <w:t>su</w:t>
      </w:r>
      <w:proofErr w:type="spellEnd"/>
      <w:r>
        <w:t xml:space="preserve"> </w:t>
      </w:r>
      <w:proofErr w:type="spellStart"/>
      <w:r>
        <w:t>caso</w:t>
      </w:r>
      <w:proofErr w:type="spellEnd"/>
      <w:r>
        <w:t xml:space="preserve">, las </w:t>
      </w:r>
      <w:proofErr w:type="spellStart"/>
      <w:r>
        <w:t>cuentas</w:t>
      </w:r>
      <w:proofErr w:type="spellEnd"/>
      <w:r>
        <w:t xml:space="preserve"> </w:t>
      </w:r>
      <w:proofErr w:type="spellStart"/>
      <w:r>
        <w:t>podrán</w:t>
      </w:r>
      <w:proofErr w:type="spellEnd"/>
      <w:r>
        <w:t xml:space="preserve"> </w:t>
      </w:r>
      <w:proofErr w:type="spellStart"/>
      <w:r>
        <w:t>renovarse</w:t>
      </w:r>
      <w:proofErr w:type="spellEnd"/>
      <w:r>
        <w:t xml:space="preserve"> </w:t>
      </w:r>
      <w:proofErr w:type="spellStart"/>
      <w:r>
        <w:t>activamente</w:t>
      </w:r>
      <w:proofErr w:type="spellEnd"/>
      <w:r>
        <w:t>.</w:t>
      </w:r>
    </w:p>
    <w:p w14:paraId="2E51AAA8" w14:textId="77777777" w:rsidR="00EE0647" w:rsidRPr="00EE0647" w:rsidRDefault="00EE0647" w:rsidP="003535B7">
      <w:pPr>
        <w:jc w:val="both"/>
        <w:rPr>
          <w:lang w:val="es-ES"/>
        </w:rPr>
      </w:pPr>
      <w:r w:rsidRPr="00EE0647">
        <w:rPr>
          <w:lang w:val="es-ES"/>
        </w:rPr>
        <w:t>La parte contratista deberá garantizar que las actividades administrativas solo se llevan a cabo mediante cuentas personalizadas y que esas cuentas solamente se utilizan para fines administrativos</w:t>
      </w:r>
      <w:bookmarkEnd w:id="34"/>
      <w:r w:rsidRPr="00EE0647">
        <w:rPr>
          <w:lang w:val="es-ES"/>
        </w:rPr>
        <w:t>.</w:t>
      </w:r>
    </w:p>
    <w:p w14:paraId="0E0CB8D7" w14:textId="77777777" w:rsidR="00EE0647" w:rsidRDefault="00EE0647" w:rsidP="003535B7">
      <w:pPr>
        <w:pStyle w:val="ISMSEbene1"/>
        <w:jc w:val="both"/>
      </w:pPr>
      <w:bookmarkStart w:id="35" w:name="_Hlk183044061"/>
      <w:proofErr w:type="spellStart"/>
      <w:r>
        <w:t>Gestión</w:t>
      </w:r>
      <w:proofErr w:type="spellEnd"/>
      <w:r>
        <w:t xml:space="preserve"> de </w:t>
      </w:r>
      <w:proofErr w:type="spellStart"/>
      <w:r>
        <w:t>autorizaciones</w:t>
      </w:r>
      <w:bookmarkEnd w:id="35"/>
      <w:proofErr w:type="spellEnd"/>
    </w:p>
    <w:p w14:paraId="191BC05D" w14:textId="77777777" w:rsidR="00EE0647" w:rsidRPr="00EE0647" w:rsidRDefault="00EE0647" w:rsidP="003535B7">
      <w:pPr>
        <w:jc w:val="both"/>
        <w:rPr>
          <w:lang w:val="es-ES"/>
        </w:rPr>
      </w:pPr>
      <w:bookmarkStart w:id="36" w:name="_Hlk183044110"/>
      <w:r w:rsidRPr="00EE0647">
        <w:rPr>
          <w:lang w:val="es-ES"/>
        </w:rPr>
        <w:t>El SGSI de la parte contratista deberá incluir un procedimiento documentado para la aprobación, adjudicación, modificación, actualización regular y retirada sin dilación de autorizaciones, todo ello de forma documentada.</w:t>
      </w:r>
    </w:p>
    <w:p w14:paraId="58AF625C" w14:textId="77777777" w:rsidR="00EE0647" w:rsidRPr="00EE0647" w:rsidRDefault="00EE0647" w:rsidP="003535B7">
      <w:pPr>
        <w:jc w:val="both"/>
        <w:rPr>
          <w:lang w:val="es-ES"/>
        </w:rPr>
      </w:pPr>
      <w:r w:rsidRPr="00EE0647">
        <w:rPr>
          <w:lang w:val="es-ES"/>
        </w:rPr>
        <w:t xml:space="preserve">Los planes estratégicos de autorizaciones de la parte contratista se deberán basar en el principio de conocimiento solo en caso necesario (principio de </w:t>
      </w:r>
      <w:proofErr w:type="spellStart"/>
      <w:r w:rsidRPr="00EE0647">
        <w:rPr>
          <w:i/>
          <w:iCs/>
          <w:lang w:val="es-ES"/>
        </w:rPr>
        <w:t>need</w:t>
      </w:r>
      <w:proofErr w:type="spellEnd"/>
      <w:r w:rsidRPr="00EE0647">
        <w:rPr>
          <w:i/>
          <w:iCs/>
          <w:lang w:val="es-ES"/>
        </w:rPr>
        <w:t xml:space="preserve"> </w:t>
      </w:r>
      <w:proofErr w:type="spellStart"/>
      <w:r w:rsidRPr="00EE0647">
        <w:rPr>
          <w:i/>
          <w:iCs/>
          <w:lang w:val="es-ES"/>
        </w:rPr>
        <w:t>to</w:t>
      </w:r>
      <w:proofErr w:type="spellEnd"/>
      <w:r w:rsidRPr="00EE0647">
        <w:rPr>
          <w:i/>
          <w:iCs/>
          <w:lang w:val="es-ES"/>
        </w:rPr>
        <w:t xml:space="preserve"> </w:t>
      </w:r>
      <w:proofErr w:type="spellStart"/>
      <w:r w:rsidRPr="00EE0647">
        <w:rPr>
          <w:i/>
          <w:iCs/>
          <w:lang w:val="es-ES"/>
        </w:rPr>
        <w:t>know</w:t>
      </w:r>
      <w:proofErr w:type="spellEnd"/>
      <w:r w:rsidRPr="00EE0647">
        <w:rPr>
          <w:lang w:val="es-ES"/>
        </w:rPr>
        <w:t xml:space="preserve">) y en el principio de derechos mínimos (principio de </w:t>
      </w:r>
      <w:proofErr w:type="spellStart"/>
      <w:r w:rsidRPr="00EE0647">
        <w:rPr>
          <w:i/>
          <w:iCs/>
          <w:lang w:val="es-ES"/>
        </w:rPr>
        <w:t>least</w:t>
      </w:r>
      <w:proofErr w:type="spellEnd"/>
      <w:r w:rsidRPr="00EE0647">
        <w:rPr>
          <w:i/>
          <w:iCs/>
          <w:lang w:val="es-ES"/>
        </w:rPr>
        <w:t xml:space="preserve"> </w:t>
      </w:r>
      <w:proofErr w:type="spellStart"/>
      <w:r w:rsidRPr="00EE0647">
        <w:rPr>
          <w:i/>
          <w:iCs/>
          <w:lang w:val="es-ES"/>
        </w:rPr>
        <w:t>privilege</w:t>
      </w:r>
      <w:proofErr w:type="spellEnd"/>
      <w:r w:rsidRPr="00EE0647">
        <w:rPr>
          <w:lang w:val="es-ES"/>
        </w:rPr>
        <w:t xml:space="preserve">) y ejecutarse de forma eficaz. </w:t>
      </w:r>
    </w:p>
    <w:p w14:paraId="5B5D5490" w14:textId="77777777" w:rsidR="00EE0647" w:rsidRPr="00EE0647" w:rsidRDefault="00EE0647" w:rsidP="003535B7">
      <w:pPr>
        <w:jc w:val="both"/>
        <w:rPr>
          <w:lang w:val="es-ES"/>
        </w:rPr>
      </w:pPr>
      <w:r w:rsidRPr="00EE0647">
        <w:rPr>
          <w:lang w:val="es-ES"/>
        </w:rPr>
        <w:t>En el marco de la gestión de autorizaciones, se deberán aplicar los requisitos relativos a la separación de funciones (</w:t>
      </w:r>
      <w:proofErr w:type="spellStart"/>
      <w:r w:rsidRPr="00EE0647">
        <w:rPr>
          <w:i/>
          <w:iCs/>
          <w:lang w:val="es-ES"/>
        </w:rPr>
        <w:t>segregation</w:t>
      </w:r>
      <w:proofErr w:type="spellEnd"/>
      <w:r w:rsidRPr="00EE0647">
        <w:rPr>
          <w:i/>
          <w:iCs/>
          <w:lang w:val="es-ES"/>
        </w:rPr>
        <w:t xml:space="preserve"> </w:t>
      </w:r>
      <w:proofErr w:type="spellStart"/>
      <w:r w:rsidRPr="00EE0647">
        <w:rPr>
          <w:i/>
          <w:iCs/>
          <w:lang w:val="es-ES"/>
        </w:rPr>
        <w:t>of</w:t>
      </w:r>
      <w:proofErr w:type="spellEnd"/>
      <w:r w:rsidRPr="00EE0647">
        <w:rPr>
          <w:i/>
          <w:iCs/>
          <w:lang w:val="es-ES"/>
        </w:rPr>
        <w:t xml:space="preserve"> </w:t>
      </w:r>
      <w:proofErr w:type="spellStart"/>
      <w:r w:rsidRPr="00EE0647">
        <w:rPr>
          <w:i/>
          <w:iCs/>
          <w:lang w:val="es-ES"/>
        </w:rPr>
        <w:t>duties</w:t>
      </w:r>
      <w:proofErr w:type="spellEnd"/>
      <w:r w:rsidRPr="00EE0647">
        <w:rPr>
          <w:lang w:val="es-ES"/>
        </w:rPr>
        <w:t>).</w:t>
      </w:r>
    </w:p>
    <w:p w14:paraId="2681FCCB" w14:textId="77777777" w:rsidR="00EE0647" w:rsidRPr="00EE0647" w:rsidRDefault="00EE0647" w:rsidP="003535B7">
      <w:pPr>
        <w:jc w:val="both"/>
        <w:rPr>
          <w:lang w:val="es-ES"/>
        </w:rPr>
      </w:pPr>
      <w:r w:rsidRPr="00EE0647">
        <w:rPr>
          <w:lang w:val="es-ES"/>
        </w:rPr>
        <w:t>El plan estratégico de autorizaciones deberá incluir medidas técnicas y organizativas que aseguren su eficacia</w:t>
      </w:r>
      <w:bookmarkEnd w:id="36"/>
      <w:r w:rsidRPr="00EE0647">
        <w:rPr>
          <w:lang w:val="es-ES"/>
        </w:rPr>
        <w:t>.</w:t>
      </w:r>
    </w:p>
    <w:p w14:paraId="63CBC179" w14:textId="77777777" w:rsidR="00EE0647" w:rsidRPr="00EE0647" w:rsidRDefault="00EE0647" w:rsidP="003535B7">
      <w:pPr>
        <w:pStyle w:val="ISMSEbene1"/>
        <w:jc w:val="both"/>
        <w:rPr>
          <w:lang w:val="es-ES"/>
        </w:rPr>
      </w:pPr>
      <w:bookmarkStart w:id="37" w:name="_Hlk183044177"/>
      <w:r w:rsidRPr="00EE0647">
        <w:rPr>
          <w:lang w:val="es-ES"/>
        </w:rPr>
        <w:t>Gestión de cambios y de parches</w:t>
      </w:r>
      <w:bookmarkEnd w:id="37"/>
    </w:p>
    <w:p w14:paraId="1ACA34F9" w14:textId="77777777" w:rsidR="00EE0647" w:rsidRPr="00EE0647" w:rsidRDefault="00EE0647" w:rsidP="003535B7">
      <w:pPr>
        <w:jc w:val="both"/>
        <w:rPr>
          <w:lang w:val="es-ES"/>
        </w:rPr>
      </w:pPr>
      <w:bookmarkStart w:id="38" w:name="_Hlk183044207"/>
      <w:r w:rsidRPr="00EE0647">
        <w:rPr>
          <w:lang w:val="es-ES"/>
        </w:rPr>
        <w:t>El SGSI de la parte contratista deberá incluir procedimientos de gestión de pruebas, cambios y parches basados en los estándares actuales (p. ej., ITIL), de modo que quede garantizada la implementación segura, regular (al menos cada 6 meses) e inmediata —si lo requieren las circunstancias— de parches (de seguridad) y actualizaciones en relación con la prestación realizada</w:t>
      </w:r>
      <w:bookmarkEnd w:id="38"/>
      <w:r w:rsidRPr="00EE0647">
        <w:rPr>
          <w:lang w:val="es-ES"/>
        </w:rPr>
        <w:t>.</w:t>
      </w:r>
    </w:p>
    <w:p w14:paraId="5A5EEB27" w14:textId="77777777" w:rsidR="00EE0647" w:rsidRPr="00EE0647" w:rsidRDefault="00EE0647" w:rsidP="003535B7">
      <w:pPr>
        <w:pStyle w:val="ISMSEbene1"/>
        <w:jc w:val="both"/>
        <w:rPr>
          <w:lang w:val="es-ES"/>
        </w:rPr>
      </w:pPr>
      <w:bookmarkStart w:id="39" w:name="_Hlk183044252"/>
      <w:r w:rsidRPr="00EE0647">
        <w:rPr>
          <w:lang w:val="es-ES"/>
        </w:rPr>
        <w:t>Separación de entornos de pruebas y de producción</w:t>
      </w:r>
    </w:p>
    <w:p w14:paraId="067027F0" w14:textId="77777777" w:rsidR="00EE0647" w:rsidRPr="00EE0647" w:rsidRDefault="00EE0647" w:rsidP="003535B7">
      <w:pPr>
        <w:jc w:val="both"/>
        <w:rPr>
          <w:lang w:val="es-ES"/>
        </w:rPr>
      </w:pPr>
      <w:bookmarkStart w:id="40" w:name="_Hlk183044443"/>
      <w:bookmarkEnd w:id="39"/>
      <w:r w:rsidRPr="00EE0647">
        <w:rPr>
          <w:lang w:val="es-ES"/>
        </w:rPr>
        <w:t>A través del SGSI de la parte contratista y las respectivas medidas técnicas, debe quedar asegurado que las vulnerabilidades, errores de uso o fallos técnicos en entornos de pruebas no supongan ningún riesgo para el entorno de producción (p. ej., mediante un cortafuegos que separe el entorno de pruebas del entorno de producción).</w:t>
      </w:r>
    </w:p>
    <w:p w14:paraId="17B8E3D4" w14:textId="77777777" w:rsidR="00EE0647" w:rsidRPr="00EE0647" w:rsidRDefault="00EE0647" w:rsidP="003535B7">
      <w:pPr>
        <w:jc w:val="both"/>
        <w:rPr>
          <w:lang w:val="es-ES"/>
        </w:rPr>
      </w:pPr>
      <w:r w:rsidRPr="00EE0647">
        <w:rPr>
          <w:lang w:val="es-ES"/>
        </w:rPr>
        <w:t>Los entornos de pruebas deben corresponderse en lo esencial con los entornos de producción correspondientes.</w:t>
      </w:r>
      <w:bookmarkEnd w:id="40"/>
    </w:p>
    <w:p w14:paraId="2B08F3FD" w14:textId="77777777" w:rsidR="00EE0647" w:rsidRDefault="00EE0647" w:rsidP="003535B7">
      <w:pPr>
        <w:pStyle w:val="ISMSEbene1"/>
        <w:jc w:val="both"/>
      </w:pPr>
      <w:bookmarkStart w:id="41" w:name="_Hlk183044829"/>
      <w:proofErr w:type="spellStart"/>
      <w:r>
        <w:t>Gestión</w:t>
      </w:r>
      <w:proofErr w:type="spellEnd"/>
      <w:r>
        <w:t xml:space="preserve"> de </w:t>
      </w:r>
      <w:proofErr w:type="spellStart"/>
      <w:r>
        <w:t>incidentes</w:t>
      </w:r>
      <w:proofErr w:type="spellEnd"/>
      <w:r>
        <w:t xml:space="preserve"> de </w:t>
      </w:r>
      <w:proofErr w:type="spellStart"/>
      <w:r>
        <w:t>seguridad</w:t>
      </w:r>
      <w:bookmarkEnd w:id="41"/>
      <w:proofErr w:type="spellEnd"/>
    </w:p>
    <w:p w14:paraId="362B6E3F" w14:textId="390EF90A" w:rsidR="00EE0647" w:rsidRPr="00B87975" w:rsidRDefault="00EE0647" w:rsidP="003535B7">
      <w:pPr>
        <w:jc w:val="both"/>
        <w:rPr>
          <w:lang w:val="es-ES"/>
        </w:rPr>
      </w:pPr>
      <w:bookmarkStart w:id="42" w:name="_Hlk183044865"/>
      <w:r w:rsidRPr="00EE0647">
        <w:rPr>
          <w:lang w:val="es-ES"/>
        </w:rPr>
        <w:t>El proceso de identificación, priorización, tratamiento y documentación de incidentes de seguridad (</w:t>
      </w:r>
      <w:proofErr w:type="spellStart"/>
      <w:r w:rsidRPr="00EE0647">
        <w:rPr>
          <w:i/>
          <w:iCs/>
          <w:lang w:val="es-ES"/>
        </w:rPr>
        <w:t>security</w:t>
      </w:r>
      <w:proofErr w:type="spellEnd"/>
      <w:r w:rsidRPr="00EE0647">
        <w:rPr>
          <w:i/>
          <w:iCs/>
          <w:lang w:val="es-ES"/>
        </w:rPr>
        <w:t xml:space="preserve"> </w:t>
      </w:r>
      <w:proofErr w:type="spellStart"/>
      <w:r w:rsidRPr="00EE0647">
        <w:rPr>
          <w:i/>
          <w:iCs/>
          <w:lang w:val="es-ES"/>
        </w:rPr>
        <w:t>incidents</w:t>
      </w:r>
      <w:proofErr w:type="spellEnd"/>
      <w:r w:rsidRPr="00EE0647">
        <w:rPr>
          <w:lang w:val="es-ES"/>
        </w:rPr>
        <w:t>) y otras alteraciones deberá incluir el registro y la evaluación centralizados de la información de registro relevante</w:t>
      </w:r>
      <w:bookmarkEnd w:id="42"/>
      <w:r w:rsidRPr="00EE0647">
        <w:rPr>
          <w:lang w:val="es-ES"/>
        </w:rPr>
        <w:t>.</w:t>
      </w:r>
    </w:p>
    <w:p w14:paraId="3B31253A" w14:textId="77777777" w:rsidR="00EE0647" w:rsidRDefault="00EE0647" w:rsidP="003535B7">
      <w:pPr>
        <w:pStyle w:val="ISMSEbene1"/>
        <w:jc w:val="both"/>
      </w:pPr>
      <w:bookmarkStart w:id="43" w:name="_Hlk183045309"/>
      <w:proofErr w:type="spellStart"/>
      <w:r>
        <w:lastRenderedPageBreak/>
        <w:t>Gestión</w:t>
      </w:r>
      <w:proofErr w:type="spellEnd"/>
      <w:r>
        <w:t xml:space="preserve"> de </w:t>
      </w:r>
      <w:proofErr w:type="spellStart"/>
      <w:r>
        <w:t>vulnerabilidades</w:t>
      </w:r>
      <w:bookmarkEnd w:id="43"/>
      <w:proofErr w:type="spellEnd"/>
    </w:p>
    <w:p w14:paraId="676E00B4" w14:textId="77777777" w:rsidR="00EE0647" w:rsidRPr="00EE0647" w:rsidRDefault="00EE0647" w:rsidP="003535B7">
      <w:pPr>
        <w:jc w:val="both"/>
        <w:rPr>
          <w:lang w:val="es-ES"/>
        </w:rPr>
      </w:pPr>
      <w:bookmarkStart w:id="44" w:name="_Hlk183045360"/>
      <w:r w:rsidRPr="00EE0647">
        <w:rPr>
          <w:lang w:val="es-ES"/>
        </w:rPr>
        <w:t xml:space="preserve">La parte contratista deberá implementar un procedimiento de identificación, valoración (p. ej., sistema de puntuación de vulnerabilidad común (Common </w:t>
      </w:r>
      <w:proofErr w:type="spellStart"/>
      <w:r w:rsidRPr="00EE0647">
        <w:rPr>
          <w:lang w:val="es-ES"/>
        </w:rPr>
        <w:t>Vulnerability</w:t>
      </w:r>
      <w:proofErr w:type="spellEnd"/>
      <w:r w:rsidRPr="00EE0647">
        <w:rPr>
          <w:lang w:val="es-ES"/>
        </w:rPr>
        <w:t xml:space="preserve"> </w:t>
      </w:r>
      <w:proofErr w:type="spellStart"/>
      <w:r w:rsidRPr="00EE0647">
        <w:rPr>
          <w:lang w:val="es-ES"/>
        </w:rPr>
        <w:t>Scoring</w:t>
      </w:r>
      <w:proofErr w:type="spellEnd"/>
      <w:r w:rsidRPr="00EE0647">
        <w:rPr>
          <w:lang w:val="es-ES"/>
        </w:rPr>
        <w:t xml:space="preserve"> </w:t>
      </w:r>
      <w:proofErr w:type="spellStart"/>
      <w:r w:rsidRPr="00EE0647">
        <w:rPr>
          <w:lang w:val="es-ES"/>
        </w:rPr>
        <w:t>System</w:t>
      </w:r>
      <w:proofErr w:type="spellEnd"/>
      <w:r w:rsidRPr="00EE0647">
        <w:rPr>
          <w:lang w:val="es-ES"/>
        </w:rPr>
        <w:t xml:space="preserve"> o CVSS)), priorización, eliminación y documentación de vulnerabilidades relacionadas con la prestación realizada.</w:t>
      </w:r>
    </w:p>
    <w:p w14:paraId="021DE30B" w14:textId="77777777" w:rsidR="00EE0647" w:rsidRPr="00EE0647" w:rsidRDefault="00EE0647" w:rsidP="003535B7">
      <w:pPr>
        <w:jc w:val="both"/>
        <w:rPr>
          <w:lang w:val="es-ES"/>
        </w:rPr>
      </w:pPr>
      <w:r w:rsidRPr="00EE0647">
        <w:rPr>
          <w:lang w:val="es-ES"/>
        </w:rPr>
        <w:t>La parte contratista deberá informar a la GIZ trimestralmente sobre las vulnerabilidades identificadas relevantes en relación con la prestación realizada, así como sobre su valoración y eliminación.</w:t>
      </w:r>
    </w:p>
    <w:p w14:paraId="4F9BD4D1" w14:textId="77777777" w:rsidR="00EE0647" w:rsidRPr="00EE0647" w:rsidRDefault="00EE0647" w:rsidP="003535B7">
      <w:pPr>
        <w:jc w:val="both"/>
        <w:rPr>
          <w:lang w:val="es-ES"/>
        </w:rPr>
      </w:pPr>
      <w:r w:rsidRPr="00EE0647">
        <w:rPr>
          <w:lang w:val="es-ES"/>
        </w:rPr>
        <w:t>La parte contratista deberá implementar un procedimiento de escaneo regular (al menos una vez al año), automatizado y documentado de las vulnerabilidades</w:t>
      </w:r>
      <w:bookmarkEnd w:id="44"/>
      <w:r w:rsidRPr="00EE0647">
        <w:rPr>
          <w:lang w:val="es-ES"/>
        </w:rPr>
        <w:t>.</w:t>
      </w:r>
    </w:p>
    <w:p w14:paraId="28403C22" w14:textId="77777777" w:rsidR="00EE0647" w:rsidRDefault="00EE0647" w:rsidP="003535B7">
      <w:pPr>
        <w:pStyle w:val="ISMSEbene1"/>
        <w:jc w:val="both"/>
      </w:pPr>
      <w:bookmarkStart w:id="45" w:name="_Hlk183045588"/>
      <w:r>
        <w:t xml:space="preserve">Plan de </w:t>
      </w:r>
      <w:proofErr w:type="spellStart"/>
      <w:r>
        <w:t>endurecimiento</w:t>
      </w:r>
      <w:bookmarkEnd w:id="45"/>
      <w:proofErr w:type="spellEnd"/>
    </w:p>
    <w:p w14:paraId="434FA58A" w14:textId="77777777" w:rsidR="00EE0647" w:rsidRDefault="00EE0647" w:rsidP="003535B7">
      <w:pPr>
        <w:jc w:val="both"/>
      </w:pPr>
      <w:bookmarkStart w:id="46" w:name="_Hlk183045570"/>
      <w:r w:rsidRPr="00EE0647">
        <w:rPr>
          <w:lang w:val="es-ES"/>
        </w:rPr>
        <w:t xml:space="preserve">La parte contratista deberá implementar un procedimiento para el endurecimiento de los componentes técnicos. </w:t>
      </w:r>
      <w:r>
        <w:t xml:space="preserve">El </w:t>
      </w:r>
      <w:proofErr w:type="spellStart"/>
      <w:r>
        <w:t>procedimiento</w:t>
      </w:r>
      <w:proofErr w:type="spellEnd"/>
      <w:r>
        <w:t xml:space="preserve"> </w:t>
      </w:r>
      <w:proofErr w:type="spellStart"/>
      <w:r>
        <w:t>debe</w:t>
      </w:r>
      <w:proofErr w:type="spellEnd"/>
      <w:r>
        <w:t xml:space="preserve"> </w:t>
      </w:r>
      <w:proofErr w:type="spellStart"/>
      <w:r>
        <w:t>asegurar</w:t>
      </w:r>
      <w:proofErr w:type="spellEnd"/>
      <w:r>
        <w:t xml:space="preserve"> en </w:t>
      </w:r>
      <w:proofErr w:type="spellStart"/>
      <w:r>
        <w:t>particular</w:t>
      </w:r>
      <w:proofErr w:type="spellEnd"/>
      <w:r>
        <w:t xml:space="preserve"> </w:t>
      </w:r>
      <w:proofErr w:type="spellStart"/>
      <w:r>
        <w:t>que</w:t>
      </w:r>
      <w:proofErr w:type="spellEnd"/>
    </w:p>
    <w:p w14:paraId="618E7A05" w14:textId="77777777" w:rsidR="00EE0647" w:rsidRPr="003535B7" w:rsidRDefault="00EE0647" w:rsidP="003535B7">
      <w:pPr>
        <w:pStyle w:val="Listenabsatz"/>
        <w:numPr>
          <w:ilvl w:val="2"/>
          <w:numId w:val="29"/>
        </w:numPr>
        <w:spacing w:before="120" w:after="200" w:line="264" w:lineRule="auto"/>
        <w:jc w:val="both"/>
        <w:rPr>
          <w:lang w:val="es-MX"/>
        </w:rPr>
      </w:pPr>
      <w:r w:rsidRPr="003535B7">
        <w:rPr>
          <w:lang w:val="es-MX"/>
        </w:rPr>
        <w:t>los servicios o interfaces no necesarios o no deseados estén desactivados,</w:t>
      </w:r>
    </w:p>
    <w:p w14:paraId="31EBF852" w14:textId="77777777" w:rsidR="00EE0647" w:rsidRPr="00EE0647" w:rsidRDefault="00EE0647" w:rsidP="003535B7">
      <w:pPr>
        <w:pStyle w:val="Listenabsatz"/>
        <w:numPr>
          <w:ilvl w:val="2"/>
          <w:numId w:val="29"/>
        </w:numPr>
        <w:spacing w:before="120" w:after="200" w:line="264" w:lineRule="auto"/>
        <w:jc w:val="both"/>
        <w:rPr>
          <w:lang w:val="es-ES"/>
        </w:rPr>
      </w:pPr>
      <w:r w:rsidRPr="00EE0647">
        <w:rPr>
          <w:lang w:val="es-ES"/>
        </w:rPr>
        <w:t>las identificaciones de usuario o usuaria no necesarias se hayan desactivado o eliminado y</w:t>
      </w:r>
    </w:p>
    <w:p w14:paraId="44A227D9" w14:textId="77777777" w:rsidR="00EE0647" w:rsidRPr="00EE0647" w:rsidRDefault="00EE0647" w:rsidP="003535B7">
      <w:pPr>
        <w:pStyle w:val="Listenabsatz"/>
        <w:numPr>
          <w:ilvl w:val="2"/>
          <w:numId w:val="29"/>
        </w:numPr>
        <w:spacing w:before="120" w:after="200" w:line="264" w:lineRule="auto"/>
        <w:jc w:val="both"/>
        <w:rPr>
          <w:lang w:val="es-ES"/>
        </w:rPr>
      </w:pPr>
      <w:r w:rsidRPr="00EE0647">
        <w:rPr>
          <w:lang w:val="es-ES"/>
        </w:rPr>
        <w:t>se cambien las contraseñas preconfiguradas</w:t>
      </w:r>
      <w:bookmarkEnd w:id="46"/>
      <w:r w:rsidRPr="00EE0647">
        <w:rPr>
          <w:lang w:val="es-ES"/>
        </w:rPr>
        <w:t>.</w:t>
      </w:r>
    </w:p>
    <w:p w14:paraId="1BDF834E" w14:textId="77777777" w:rsidR="00EE0647" w:rsidRDefault="00EE0647" w:rsidP="003535B7">
      <w:pPr>
        <w:pStyle w:val="ISMSEbene1"/>
        <w:jc w:val="both"/>
      </w:pPr>
      <w:bookmarkStart w:id="47" w:name="_Hlk183045674"/>
      <w:proofErr w:type="spellStart"/>
      <w:r>
        <w:t>Auditorías</w:t>
      </w:r>
      <w:proofErr w:type="spellEnd"/>
      <w:r>
        <w:t xml:space="preserve"> </w:t>
      </w:r>
      <w:proofErr w:type="spellStart"/>
      <w:r>
        <w:t>internas</w:t>
      </w:r>
      <w:bookmarkEnd w:id="47"/>
      <w:proofErr w:type="spellEnd"/>
    </w:p>
    <w:p w14:paraId="68BD0826" w14:textId="77777777" w:rsidR="00EE0647" w:rsidRPr="00EE0647" w:rsidRDefault="00EE0647" w:rsidP="003535B7">
      <w:pPr>
        <w:jc w:val="both"/>
        <w:rPr>
          <w:lang w:val="es-ES"/>
        </w:rPr>
      </w:pPr>
      <w:bookmarkStart w:id="48" w:name="_Hlk183045643"/>
      <w:r w:rsidRPr="00EE0647">
        <w:rPr>
          <w:lang w:val="es-ES"/>
        </w:rPr>
        <w:t>La parte contratista deberá implementar un procedimiento que incluya exámenes tanto regulares como circunstanciales de las medidas de seguridad para comprobar su adecuación y eficacia (por ejemplo, comparaciones de valor teórico-real de configuraciones, conjuntos de reglas de cortafuegos o pruebas de penetración) y documente los resultados de dichos exámenes.</w:t>
      </w:r>
    </w:p>
    <w:p w14:paraId="36EE7837" w14:textId="77777777" w:rsidR="00EE0647" w:rsidRPr="00EE0647" w:rsidRDefault="00EE0647" w:rsidP="003535B7">
      <w:pPr>
        <w:jc w:val="both"/>
        <w:rPr>
          <w:lang w:val="es-ES"/>
        </w:rPr>
      </w:pPr>
      <w:r w:rsidRPr="00EE0647">
        <w:rPr>
          <w:lang w:val="es-ES"/>
        </w:rPr>
        <w:t>Previo aviso por parte de la GIZ, la parte contratista deberá permitir que esta o terceros lleven a cabo pruebas de penetración externas (como máximo, una vez al año).</w:t>
      </w:r>
    </w:p>
    <w:p w14:paraId="7586AAB9" w14:textId="77777777" w:rsidR="00EE0647" w:rsidRPr="00EE0647" w:rsidRDefault="00EE0647" w:rsidP="003535B7">
      <w:pPr>
        <w:jc w:val="both"/>
        <w:rPr>
          <w:lang w:val="es-ES"/>
        </w:rPr>
      </w:pPr>
      <w:r w:rsidRPr="00EE0647">
        <w:rPr>
          <w:lang w:val="es-ES"/>
        </w:rPr>
        <w:t>La parte contratista deberá acometer sin dilación las medidas que exijan los hallazgos de las auditorías y pruebas de penetración internas. La parte contratista asumirá esta labor sin recibir una retribución aparte por ello</w:t>
      </w:r>
      <w:bookmarkEnd w:id="48"/>
      <w:r w:rsidRPr="00EE0647">
        <w:rPr>
          <w:lang w:val="es-ES"/>
        </w:rPr>
        <w:t xml:space="preserve">. </w:t>
      </w:r>
    </w:p>
    <w:p w14:paraId="4A5065C1" w14:textId="77777777" w:rsidR="00EE0647" w:rsidRPr="00EE0647" w:rsidRDefault="00EE0647" w:rsidP="003535B7">
      <w:pPr>
        <w:pStyle w:val="ISMSEbene1"/>
        <w:jc w:val="both"/>
        <w:rPr>
          <w:lang w:val="es-ES"/>
        </w:rPr>
      </w:pPr>
      <w:bookmarkStart w:id="49" w:name="_Hlk183045762"/>
      <w:r w:rsidRPr="00EE0647">
        <w:rPr>
          <w:lang w:val="es-ES"/>
        </w:rPr>
        <w:t xml:space="preserve">Estaciones de trabajo de </w:t>
      </w:r>
      <w:proofErr w:type="gramStart"/>
      <w:r w:rsidRPr="00EE0647">
        <w:rPr>
          <w:lang w:val="es-ES"/>
        </w:rPr>
        <w:t>administradores y administradoras</w:t>
      </w:r>
      <w:bookmarkEnd w:id="49"/>
      <w:proofErr w:type="gramEnd"/>
    </w:p>
    <w:p w14:paraId="095C8258" w14:textId="77777777" w:rsidR="00EE0647" w:rsidRPr="00EE0647" w:rsidRDefault="00EE0647" w:rsidP="003535B7">
      <w:pPr>
        <w:jc w:val="both"/>
        <w:rPr>
          <w:lang w:val="es-ES"/>
        </w:rPr>
      </w:pPr>
      <w:bookmarkStart w:id="50" w:name="_Hlk183045782"/>
      <w:r w:rsidRPr="00EE0647">
        <w:rPr>
          <w:lang w:val="es-ES"/>
        </w:rPr>
        <w:t>La parte contratista se asegurará de que el acceso a sistemas con fines de administración solo sea posible desde estaciones de trabajo endurecidas, de acceso restringido y bajo vigilancia</w:t>
      </w:r>
      <w:bookmarkEnd w:id="50"/>
      <w:r w:rsidRPr="00EE0647">
        <w:rPr>
          <w:lang w:val="es-ES"/>
        </w:rPr>
        <w:t>.</w:t>
      </w:r>
    </w:p>
    <w:p w14:paraId="3D012CA8" w14:textId="77777777" w:rsidR="00EE0647" w:rsidRDefault="00EE0647" w:rsidP="003535B7">
      <w:pPr>
        <w:pStyle w:val="ISMSEbene1"/>
        <w:jc w:val="both"/>
      </w:pPr>
      <w:bookmarkStart w:id="51" w:name="_Hlk183045807"/>
      <w:proofErr w:type="spellStart"/>
      <w:r>
        <w:t>Protección</w:t>
      </w:r>
      <w:proofErr w:type="spellEnd"/>
      <w:r>
        <w:t xml:space="preserve"> contra </w:t>
      </w:r>
      <w:proofErr w:type="spellStart"/>
      <w:r>
        <w:t>código</w:t>
      </w:r>
      <w:proofErr w:type="spellEnd"/>
      <w:r>
        <w:t xml:space="preserve"> </w:t>
      </w:r>
      <w:proofErr w:type="spellStart"/>
      <w:r>
        <w:t>malicioso</w:t>
      </w:r>
      <w:bookmarkEnd w:id="51"/>
      <w:proofErr w:type="spellEnd"/>
    </w:p>
    <w:p w14:paraId="711AF5D5" w14:textId="77777777" w:rsidR="00EE0647" w:rsidRPr="00EE0647" w:rsidRDefault="00EE0647" w:rsidP="003535B7">
      <w:pPr>
        <w:jc w:val="both"/>
        <w:rPr>
          <w:lang w:val="es-ES"/>
        </w:rPr>
      </w:pPr>
      <w:bookmarkStart w:id="52" w:name="_Hlk183045853"/>
      <w:r w:rsidRPr="00EE0647">
        <w:rPr>
          <w:lang w:val="es-ES"/>
        </w:rPr>
        <w:t xml:space="preserve">La parte contratista deberá implementar un procedimiento para proteger de forma continuada los componentes técnicos contra el código malicioso, así como un plan de reacción ante código malicioso de gran alcance (p. ej., </w:t>
      </w:r>
      <w:proofErr w:type="spellStart"/>
      <w:r w:rsidRPr="00EE0647">
        <w:rPr>
          <w:i/>
          <w:iCs/>
          <w:lang w:val="es-ES"/>
        </w:rPr>
        <w:t>ransomware</w:t>
      </w:r>
      <w:proofErr w:type="spellEnd"/>
      <w:r w:rsidRPr="00EE0647">
        <w:rPr>
          <w:lang w:val="es-ES"/>
        </w:rPr>
        <w:t>)</w:t>
      </w:r>
      <w:bookmarkEnd w:id="52"/>
      <w:r w:rsidRPr="00EE0647">
        <w:rPr>
          <w:lang w:val="es-ES"/>
        </w:rPr>
        <w:t>.</w:t>
      </w:r>
    </w:p>
    <w:p w14:paraId="3255CD30" w14:textId="77777777" w:rsidR="00EE0647" w:rsidRDefault="00EE0647" w:rsidP="003535B7">
      <w:pPr>
        <w:pStyle w:val="ISMSEbene1"/>
        <w:jc w:val="both"/>
      </w:pPr>
      <w:bookmarkStart w:id="53" w:name="_Hlk183045872"/>
      <w:r>
        <w:t xml:space="preserve">Plan de </w:t>
      </w:r>
      <w:proofErr w:type="spellStart"/>
      <w:r>
        <w:t>copias</w:t>
      </w:r>
      <w:proofErr w:type="spellEnd"/>
      <w:r>
        <w:t xml:space="preserve"> de </w:t>
      </w:r>
      <w:proofErr w:type="spellStart"/>
      <w:r>
        <w:t>seguridad</w:t>
      </w:r>
      <w:bookmarkEnd w:id="53"/>
      <w:proofErr w:type="spellEnd"/>
    </w:p>
    <w:p w14:paraId="20AD77FE" w14:textId="77777777" w:rsidR="00EE0647" w:rsidRPr="00EE0647" w:rsidRDefault="00EE0647" w:rsidP="003535B7">
      <w:pPr>
        <w:jc w:val="both"/>
        <w:rPr>
          <w:lang w:val="es-ES"/>
        </w:rPr>
      </w:pPr>
      <w:bookmarkStart w:id="54" w:name="_Hlk183045894"/>
      <w:r w:rsidRPr="00EE0647">
        <w:rPr>
          <w:lang w:val="es-ES"/>
        </w:rPr>
        <w:t>La parte contratista deberá implementar un procedimiento de copias de seguridad que incluya pruebas regulares y documentadas del sistema de reposición de copias de seguridad</w:t>
      </w:r>
      <w:bookmarkEnd w:id="54"/>
      <w:r w:rsidRPr="00EE0647">
        <w:rPr>
          <w:lang w:val="es-ES"/>
        </w:rPr>
        <w:t>.</w:t>
      </w:r>
    </w:p>
    <w:p w14:paraId="39E0FEAD" w14:textId="77777777" w:rsidR="00EE0647" w:rsidRPr="00106ED8" w:rsidRDefault="00EE0647" w:rsidP="003535B7">
      <w:pPr>
        <w:pStyle w:val="ISMSEbene1"/>
        <w:jc w:val="both"/>
      </w:pPr>
      <w:proofErr w:type="spellStart"/>
      <w:r>
        <w:lastRenderedPageBreak/>
        <w:t>Separación</w:t>
      </w:r>
      <w:proofErr w:type="spellEnd"/>
      <w:r>
        <w:t xml:space="preserve"> de </w:t>
      </w:r>
      <w:proofErr w:type="spellStart"/>
      <w:r>
        <w:t>clientes</w:t>
      </w:r>
      <w:proofErr w:type="spellEnd"/>
    </w:p>
    <w:p w14:paraId="0796FD8E" w14:textId="77777777" w:rsidR="00EE0647" w:rsidRPr="00EE0647" w:rsidRDefault="00EE0647" w:rsidP="003535B7">
      <w:pPr>
        <w:spacing w:after="0" w:line="240" w:lineRule="auto"/>
        <w:jc w:val="both"/>
        <w:rPr>
          <w:lang w:val="es-ES"/>
        </w:rPr>
      </w:pPr>
      <w:bookmarkStart w:id="55" w:name="_Hlk183046462"/>
      <w:r w:rsidRPr="00EE0647">
        <w:rPr>
          <w:lang w:val="es-ES"/>
        </w:rPr>
        <w:t>La parte contratista deberá implementar un procedimiento técnico para la separación de clientes que garantice que las informaciones y los contextos de tratamiento de los diferentes clientes se mantienen separados</w:t>
      </w:r>
      <w:bookmarkEnd w:id="55"/>
      <w:r w:rsidRPr="00EE0647">
        <w:rPr>
          <w:lang w:val="es-ES"/>
        </w:rPr>
        <w:t>.</w:t>
      </w:r>
    </w:p>
    <w:p w14:paraId="4689E7BC" w14:textId="77777777" w:rsidR="00EE0647" w:rsidRPr="00106ED8" w:rsidRDefault="00EE0647" w:rsidP="003535B7">
      <w:pPr>
        <w:pStyle w:val="ISMSEbene1"/>
        <w:jc w:val="both"/>
      </w:pPr>
      <w:bookmarkStart w:id="56" w:name="_Hlk183046516"/>
      <w:proofErr w:type="spellStart"/>
      <w:r>
        <w:t>Manejo</w:t>
      </w:r>
      <w:proofErr w:type="spellEnd"/>
      <w:r>
        <w:t xml:space="preserve"> de </w:t>
      </w:r>
      <w:proofErr w:type="spellStart"/>
      <w:r>
        <w:t>medios</w:t>
      </w:r>
      <w:proofErr w:type="spellEnd"/>
      <w:r>
        <w:t xml:space="preserve"> de </w:t>
      </w:r>
      <w:proofErr w:type="spellStart"/>
      <w:r>
        <w:t>autenticación</w:t>
      </w:r>
      <w:bookmarkEnd w:id="56"/>
      <w:proofErr w:type="spellEnd"/>
    </w:p>
    <w:p w14:paraId="338BE526" w14:textId="77777777" w:rsidR="00EE0647" w:rsidRPr="00EE0647" w:rsidRDefault="00EE0647" w:rsidP="003535B7">
      <w:pPr>
        <w:jc w:val="both"/>
        <w:rPr>
          <w:lang w:val="es-ES"/>
        </w:rPr>
      </w:pPr>
      <w:bookmarkStart w:id="57" w:name="_Hlk183046535"/>
      <w:r w:rsidRPr="00EE0647">
        <w:rPr>
          <w:lang w:val="es-ES"/>
        </w:rPr>
        <w:t xml:space="preserve">La parte contratista deberá implementar un procedimiento relativo al uso, el cambio seguro, la sustitución, el almacenamiento y la creación de medios de autenticación (p. ej., contraseñas), así como una disposición relativa al manejo seguro de medios de autenticación (p. ej., contraseñas). </w:t>
      </w:r>
    </w:p>
    <w:p w14:paraId="18E2B215" w14:textId="77777777" w:rsidR="00EE0647" w:rsidRPr="00EE0647" w:rsidRDefault="00EE0647" w:rsidP="003535B7">
      <w:pPr>
        <w:jc w:val="both"/>
        <w:rPr>
          <w:lang w:val="es-ES"/>
        </w:rPr>
      </w:pPr>
      <w:r w:rsidRPr="00EE0647">
        <w:rPr>
          <w:lang w:val="es-ES"/>
        </w:rPr>
        <w:t>El uso indebido de medios de autenticación deberá ser valorado y tratado como incidente de seguridad</w:t>
      </w:r>
      <w:bookmarkEnd w:id="57"/>
      <w:r w:rsidRPr="00EE0647">
        <w:rPr>
          <w:lang w:val="es-ES"/>
        </w:rPr>
        <w:t>.</w:t>
      </w:r>
    </w:p>
    <w:p w14:paraId="4BD689D9" w14:textId="77777777" w:rsidR="00EE0647" w:rsidRPr="00106ED8" w:rsidRDefault="00EE0647" w:rsidP="003535B7">
      <w:pPr>
        <w:pStyle w:val="ISMSEbene1"/>
        <w:jc w:val="both"/>
      </w:pPr>
      <w:bookmarkStart w:id="58" w:name="_Hlk183046588"/>
      <w:r>
        <w:t xml:space="preserve">Plan de </w:t>
      </w:r>
      <w:proofErr w:type="spellStart"/>
      <w:r>
        <w:t>supresión</w:t>
      </w:r>
      <w:proofErr w:type="spellEnd"/>
    </w:p>
    <w:p w14:paraId="007328D8" w14:textId="77777777" w:rsidR="00EE0647" w:rsidRPr="00EE0647" w:rsidRDefault="00EE0647" w:rsidP="003535B7">
      <w:pPr>
        <w:jc w:val="both"/>
        <w:rPr>
          <w:lang w:val="es-ES"/>
        </w:rPr>
      </w:pPr>
      <w:r w:rsidRPr="00EE0647">
        <w:rPr>
          <w:lang w:val="es-ES"/>
        </w:rPr>
        <w:t xml:space="preserve">La parte contratista deberá implementar un procedimiento para la devolución, la supresión total (es decir, sin posibilidades de reconstrucción) y la destrucción de datos, de manera que los datos clasificados por la GIZ como “ya no necesarios” sean suprimidos sin demora, siempre y cuando no estén sujetos a un plazo legal o contractual de conservación o bloqueo y su supresión conlleve un esfuerzo técnico razonable. </w:t>
      </w:r>
    </w:p>
    <w:p w14:paraId="5CF2A63B" w14:textId="77777777" w:rsidR="00EE0647" w:rsidRPr="00EE0647" w:rsidRDefault="00EE0647" w:rsidP="003535B7">
      <w:pPr>
        <w:jc w:val="both"/>
        <w:rPr>
          <w:lang w:val="es-ES"/>
        </w:rPr>
      </w:pPr>
      <w:r w:rsidRPr="00EE0647">
        <w:rPr>
          <w:lang w:val="es-ES"/>
        </w:rPr>
        <w:t>Este procedimiento es especialmente aplicable a la información de la GIZ en caso de finalización prevista o imprevista de la realización de la prestación.</w:t>
      </w:r>
    </w:p>
    <w:p w14:paraId="63E01560" w14:textId="77777777" w:rsidR="00EE0647" w:rsidRPr="00EE0647" w:rsidRDefault="00EE0647" w:rsidP="003535B7">
      <w:pPr>
        <w:jc w:val="both"/>
        <w:rPr>
          <w:lang w:val="es-ES"/>
        </w:rPr>
      </w:pPr>
      <w:r w:rsidRPr="00EE0647">
        <w:rPr>
          <w:lang w:val="es-ES"/>
        </w:rPr>
        <w:t>A petición de la GIZ, deberá poder acreditarse la supresión mediante la correspondiente declaración o de otra manera. Si se solicitara, se deberá poder acreditar el procedimiento de supresión.</w:t>
      </w:r>
    </w:p>
    <w:p w14:paraId="26A0F76B" w14:textId="77777777" w:rsidR="00EE0647" w:rsidRPr="00106ED8" w:rsidRDefault="00EE0647" w:rsidP="003535B7">
      <w:pPr>
        <w:pStyle w:val="ISMSEbene1"/>
        <w:jc w:val="both"/>
      </w:pPr>
      <w:proofErr w:type="spellStart"/>
      <w:r>
        <w:t>Funcionamiento</w:t>
      </w:r>
      <w:proofErr w:type="spellEnd"/>
      <w:r>
        <w:t xml:space="preserve"> </w:t>
      </w:r>
      <w:proofErr w:type="spellStart"/>
      <w:r>
        <w:t>seguro</w:t>
      </w:r>
      <w:proofErr w:type="spellEnd"/>
      <w:r>
        <w:t xml:space="preserve"> de los </w:t>
      </w:r>
      <w:proofErr w:type="spellStart"/>
      <w:r>
        <w:t>cortafuegos</w:t>
      </w:r>
      <w:proofErr w:type="spellEnd"/>
    </w:p>
    <w:p w14:paraId="08407ACC" w14:textId="77777777" w:rsidR="00EE0647" w:rsidRPr="00EE0647" w:rsidRDefault="00EE0647" w:rsidP="003535B7">
      <w:pPr>
        <w:jc w:val="both"/>
        <w:rPr>
          <w:lang w:val="es-ES"/>
        </w:rPr>
      </w:pPr>
      <w:r w:rsidRPr="00EE0647">
        <w:rPr>
          <w:lang w:val="es-ES"/>
        </w:rPr>
        <w:t xml:space="preserve">La parte contratista deberá asegurar mediante un procedimiento adecuado que todos los cortafuegos funcionen con un conjunto de reglas mínimo (lista blanca). </w:t>
      </w:r>
    </w:p>
    <w:p w14:paraId="2CB39D0E" w14:textId="77777777" w:rsidR="00EE0647" w:rsidRPr="00EE0647" w:rsidRDefault="00EE0647" w:rsidP="003535B7">
      <w:pPr>
        <w:jc w:val="both"/>
        <w:rPr>
          <w:lang w:val="es-ES"/>
        </w:rPr>
      </w:pPr>
      <w:r w:rsidRPr="00EE0647">
        <w:rPr>
          <w:lang w:val="es-ES"/>
        </w:rPr>
        <w:t>Los conjuntos de reglas se deberán documentar y el estado real de la configuración del conjunto de reglas del cortafuegos deberá cotejarse regularmente con el estado teórico documentado</w:t>
      </w:r>
      <w:bookmarkEnd w:id="58"/>
      <w:r w:rsidRPr="00EE0647">
        <w:rPr>
          <w:lang w:val="es-ES"/>
        </w:rPr>
        <w:t>.</w:t>
      </w:r>
    </w:p>
    <w:p w14:paraId="019CFDBA" w14:textId="77777777" w:rsidR="00EE0647" w:rsidRPr="00EE0647" w:rsidRDefault="00EE0647" w:rsidP="003535B7">
      <w:pPr>
        <w:pStyle w:val="ISMSEbene1"/>
        <w:jc w:val="both"/>
        <w:rPr>
          <w:lang w:val="es-ES"/>
        </w:rPr>
      </w:pPr>
      <w:bookmarkStart w:id="59" w:name="_Hlk183046632"/>
      <w:r w:rsidRPr="00EE0647">
        <w:rPr>
          <w:lang w:val="es-ES"/>
        </w:rPr>
        <w:t>Uso de criptografía y plan de criptografía</w:t>
      </w:r>
    </w:p>
    <w:p w14:paraId="7EBE81AA" w14:textId="77777777" w:rsidR="00EE0647" w:rsidRPr="00EE0647" w:rsidRDefault="00EE0647" w:rsidP="003535B7">
      <w:pPr>
        <w:jc w:val="both"/>
        <w:rPr>
          <w:lang w:val="es-ES"/>
        </w:rPr>
      </w:pPr>
      <w:r w:rsidRPr="00EE0647">
        <w:rPr>
          <w:lang w:val="es-ES"/>
        </w:rPr>
        <w:t>La parte contratista deberá implementar un procedimiento que incluya el uso eficaz de criptografía y la gestión de claves para proteger la confidencialidad, la autenticidad o la integridad de la información.</w:t>
      </w:r>
    </w:p>
    <w:p w14:paraId="6D814055" w14:textId="77777777" w:rsidR="00EE0647" w:rsidRPr="00EE0647" w:rsidRDefault="00EE0647" w:rsidP="003535B7">
      <w:pPr>
        <w:jc w:val="both"/>
        <w:rPr>
          <w:lang w:val="es-ES"/>
        </w:rPr>
      </w:pPr>
      <w:r w:rsidRPr="00EE0647">
        <w:rPr>
          <w:lang w:val="es-ES"/>
        </w:rPr>
        <w:t xml:space="preserve">La parte contratista deberá asegurar a la GIZ un cifrado adecuado en la transmisión y el almacenamiento de datos (es decir, tanto de los datos </w:t>
      </w:r>
      <w:r w:rsidRPr="00EE0647">
        <w:rPr>
          <w:i/>
          <w:iCs/>
          <w:lang w:val="es-ES"/>
        </w:rPr>
        <w:t xml:space="preserve">in </w:t>
      </w:r>
      <w:proofErr w:type="spellStart"/>
      <w:r w:rsidRPr="00EE0647">
        <w:rPr>
          <w:i/>
          <w:iCs/>
          <w:lang w:val="es-ES"/>
        </w:rPr>
        <w:t>transit</w:t>
      </w:r>
      <w:proofErr w:type="spellEnd"/>
      <w:r w:rsidRPr="00EE0647">
        <w:rPr>
          <w:lang w:val="es-ES"/>
        </w:rPr>
        <w:t xml:space="preserve"> como </w:t>
      </w:r>
      <w:r w:rsidRPr="00EE0647">
        <w:rPr>
          <w:i/>
          <w:iCs/>
          <w:lang w:val="es-ES"/>
        </w:rPr>
        <w:t xml:space="preserve">at </w:t>
      </w:r>
      <w:proofErr w:type="spellStart"/>
      <w:r w:rsidRPr="00EE0647">
        <w:rPr>
          <w:i/>
          <w:iCs/>
          <w:lang w:val="es-ES"/>
        </w:rPr>
        <w:t>rest</w:t>
      </w:r>
      <w:proofErr w:type="spellEnd"/>
      <w:r w:rsidRPr="00EE0647">
        <w:rPr>
          <w:lang w:val="es-ES"/>
        </w:rPr>
        <w:t>).</w:t>
      </w:r>
    </w:p>
    <w:p w14:paraId="128DDFB6" w14:textId="77777777" w:rsidR="00EE0647" w:rsidRPr="00EE0647" w:rsidRDefault="00EE0647" w:rsidP="003535B7">
      <w:pPr>
        <w:jc w:val="both"/>
        <w:rPr>
          <w:lang w:val="es-ES"/>
        </w:rPr>
      </w:pPr>
      <w:r w:rsidRPr="00EE0647">
        <w:rPr>
          <w:lang w:val="es-ES"/>
        </w:rPr>
        <w:t>En particular, la comunicación a través de conexiones no fiables (p. ej. WAN, Internet) deberá estar convenientemente cifrada.</w:t>
      </w:r>
    </w:p>
    <w:p w14:paraId="67CC1312" w14:textId="77777777" w:rsidR="00EE0647" w:rsidRPr="00EE0647" w:rsidRDefault="00EE0647" w:rsidP="003535B7">
      <w:pPr>
        <w:jc w:val="both"/>
        <w:rPr>
          <w:lang w:val="es-ES"/>
        </w:rPr>
      </w:pPr>
      <w:r w:rsidRPr="00EE0647">
        <w:rPr>
          <w:lang w:val="es-ES"/>
        </w:rPr>
        <w:t>Los protocolos y procedimientos de cifrado de la parte contratista deberán corresponderse con los últimos avances tecnológicos.</w:t>
      </w:r>
    </w:p>
    <w:p w14:paraId="1B047E18" w14:textId="77777777" w:rsidR="00EE0647" w:rsidRPr="00106ED8" w:rsidRDefault="00EE0647" w:rsidP="003535B7">
      <w:pPr>
        <w:pStyle w:val="ISMSEbene1"/>
        <w:jc w:val="both"/>
      </w:pPr>
      <w:proofErr w:type="spellStart"/>
      <w:r>
        <w:lastRenderedPageBreak/>
        <w:t>Gestión</w:t>
      </w:r>
      <w:proofErr w:type="spellEnd"/>
      <w:r>
        <w:t xml:space="preserve"> de </w:t>
      </w:r>
      <w:proofErr w:type="spellStart"/>
      <w:r>
        <w:t>emergencias</w:t>
      </w:r>
      <w:proofErr w:type="spellEnd"/>
      <w:r>
        <w:t xml:space="preserve"> de TI</w:t>
      </w:r>
    </w:p>
    <w:p w14:paraId="16662F6B" w14:textId="77777777" w:rsidR="00EE0647" w:rsidRPr="00EE0647" w:rsidRDefault="00EE0647" w:rsidP="003535B7">
      <w:pPr>
        <w:jc w:val="both"/>
        <w:rPr>
          <w:lang w:val="es-ES"/>
        </w:rPr>
      </w:pPr>
      <w:r w:rsidRPr="00EE0647">
        <w:rPr>
          <w:lang w:val="es-ES"/>
        </w:rPr>
        <w:t>La parte contratista deberá contar con una gestión de emergencias de TI adecuada, documentada e implementada, que cubra la prestación que está previsto realizar, incluida la información que se tratará, y que incluya los componentes infraestructurales, organizativos, técnicos y de personal necesarios.</w:t>
      </w:r>
    </w:p>
    <w:p w14:paraId="6935E766" w14:textId="77777777" w:rsidR="00EE0647" w:rsidRPr="00EE0647" w:rsidRDefault="00EE0647" w:rsidP="003535B7">
      <w:pPr>
        <w:jc w:val="both"/>
        <w:rPr>
          <w:lang w:val="es-ES"/>
        </w:rPr>
      </w:pPr>
      <w:r w:rsidRPr="00EE0647">
        <w:rPr>
          <w:lang w:val="es-ES"/>
        </w:rPr>
        <w:t>La gestión de emergencias de TI de la parte contratista deberá ser objeto de un proceso de mejora continua.</w:t>
      </w:r>
    </w:p>
    <w:p w14:paraId="53FB117D" w14:textId="77777777" w:rsidR="00EE0647" w:rsidRPr="00EE0647" w:rsidRDefault="00EE0647" w:rsidP="003535B7">
      <w:pPr>
        <w:jc w:val="both"/>
        <w:rPr>
          <w:lang w:val="es-ES"/>
        </w:rPr>
      </w:pPr>
      <w:r w:rsidRPr="00EE0647">
        <w:rPr>
          <w:lang w:val="es-ES"/>
        </w:rPr>
        <w:t xml:space="preserve">La gestión de emergencias de TI deberá contemplar al menos los escenarios siguientes: </w:t>
      </w:r>
    </w:p>
    <w:p w14:paraId="61DAD5A7" w14:textId="77777777" w:rsidR="00EE0647" w:rsidRPr="00106ED8" w:rsidRDefault="00EE0647" w:rsidP="003535B7">
      <w:pPr>
        <w:numPr>
          <w:ilvl w:val="0"/>
          <w:numId w:val="31"/>
        </w:numPr>
        <w:ind w:left="709"/>
        <w:contextualSpacing/>
        <w:jc w:val="both"/>
      </w:pPr>
      <w:proofErr w:type="spellStart"/>
      <w:r>
        <w:t>fallo</w:t>
      </w:r>
      <w:proofErr w:type="spellEnd"/>
      <w:r>
        <w:t xml:space="preserve"> de </w:t>
      </w:r>
      <w:proofErr w:type="spellStart"/>
      <w:r>
        <w:t>un</w:t>
      </w:r>
      <w:proofErr w:type="spellEnd"/>
      <w:r>
        <w:t xml:space="preserve"> </w:t>
      </w:r>
      <w:proofErr w:type="spellStart"/>
      <w:r>
        <w:t>edificio</w:t>
      </w:r>
      <w:proofErr w:type="spellEnd"/>
      <w:r>
        <w:t xml:space="preserve">; </w:t>
      </w:r>
    </w:p>
    <w:p w14:paraId="2343616E" w14:textId="77777777" w:rsidR="00EE0647" w:rsidRPr="00EE0647" w:rsidRDefault="00EE0647" w:rsidP="003535B7">
      <w:pPr>
        <w:numPr>
          <w:ilvl w:val="0"/>
          <w:numId w:val="31"/>
        </w:numPr>
        <w:ind w:left="709"/>
        <w:contextualSpacing/>
        <w:jc w:val="both"/>
        <w:rPr>
          <w:lang w:val="es-ES"/>
        </w:rPr>
      </w:pPr>
      <w:r w:rsidRPr="00EE0647">
        <w:rPr>
          <w:lang w:val="es-ES"/>
        </w:rPr>
        <w:t xml:space="preserve">fallo de un centro de procesamiento de datos; </w:t>
      </w:r>
    </w:p>
    <w:p w14:paraId="6AFD72CE" w14:textId="77777777" w:rsidR="00EE0647" w:rsidRPr="00EE0647" w:rsidRDefault="00EE0647" w:rsidP="003535B7">
      <w:pPr>
        <w:numPr>
          <w:ilvl w:val="0"/>
          <w:numId w:val="31"/>
        </w:numPr>
        <w:ind w:left="709"/>
        <w:contextualSpacing/>
        <w:jc w:val="both"/>
        <w:rPr>
          <w:lang w:val="es-ES"/>
        </w:rPr>
      </w:pPr>
      <w:r w:rsidRPr="00EE0647">
        <w:rPr>
          <w:lang w:val="es-ES"/>
        </w:rPr>
        <w:t>fallo de la infraestructura de comunicación.</w:t>
      </w:r>
    </w:p>
    <w:p w14:paraId="182A2B5F" w14:textId="77777777" w:rsidR="00EE0647" w:rsidRPr="00EE0647" w:rsidRDefault="00EE0647" w:rsidP="003535B7">
      <w:pPr>
        <w:ind w:left="709"/>
        <w:contextualSpacing/>
        <w:jc w:val="both"/>
        <w:rPr>
          <w:lang w:val="es-ES"/>
        </w:rPr>
      </w:pPr>
      <w:r w:rsidRPr="00EE0647">
        <w:rPr>
          <w:lang w:val="es-ES"/>
        </w:rPr>
        <w:t xml:space="preserve"> </w:t>
      </w:r>
    </w:p>
    <w:p w14:paraId="74B98472" w14:textId="24CE8998" w:rsidR="00F74018" w:rsidRPr="00EE0647" w:rsidRDefault="00EE0647" w:rsidP="003535B7">
      <w:pPr>
        <w:jc w:val="both"/>
        <w:rPr>
          <w:lang w:val="es-ES"/>
        </w:rPr>
      </w:pPr>
      <w:r w:rsidRPr="00EE0647">
        <w:rPr>
          <w:lang w:val="es-ES"/>
        </w:rPr>
        <w:t>Deberán llevarse a cabo regularmente y documentarse simulacros de emergencia para estos escenarios. Los resultados de los simulacros de emergencia deben utilizarse con fines de mejora</w:t>
      </w:r>
      <w:bookmarkEnd w:id="8"/>
      <w:bookmarkEnd w:id="11"/>
      <w:bookmarkEnd w:id="13"/>
      <w:bookmarkEnd w:id="16"/>
      <w:bookmarkEnd w:id="59"/>
      <w:r w:rsidR="00F74018" w:rsidRPr="00EE0647">
        <w:rPr>
          <w:lang w:val="es-ES" w:eastAsia="de-DE"/>
        </w:rPr>
        <w:t>.</w:t>
      </w:r>
    </w:p>
    <w:p w14:paraId="5AD0AC89" w14:textId="77777777" w:rsidR="00F74018" w:rsidRPr="00EE0647" w:rsidRDefault="00F74018" w:rsidP="003535B7">
      <w:pPr>
        <w:jc w:val="both"/>
        <w:rPr>
          <w:lang w:val="es-ES" w:eastAsia="de-DE"/>
        </w:rPr>
      </w:pPr>
    </w:p>
    <w:sectPr w:rsidR="00F74018" w:rsidRPr="00EE0647" w:rsidSect="009E09C2">
      <w:headerReference w:type="even" r:id="rId11"/>
      <w:headerReference w:type="default" r:id="rId12"/>
      <w:footerReference w:type="even" r:id="rId13"/>
      <w:footerReference w:type="default" r:id="rId14"/>
      <w:headerReference w:type="first" r:id="rId15"/>
      <w:footerReference w:type="first" r:id="rId16"/>
      <w:pgSz w:w="11906" w:h="16838"/>
      <w:pgMar w:top="1142" w:right="1440" w:bottom="1135" w:left="1440" w:header="22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9D94" w14:textId="77777777" w:rsidR="006E0059" w:rsidRDefault="006E0059" w:rsidP="005358D7">
      <w:pPr>
        <w:spacing w:after="0" w:line="240" w:lineRule="auto"/>
      </w:pPr>
      <w:r>
        <w:separator/>
      </w:r>
    </w:p>
    <w:p w14:paraId="03AC151B" w14:textId="77777777" w:rsidR="006E0059" w:rsidRDefault="006E0059"/>
  </w:endnote>
  <w:endnote w:type="continuationSeparator" w:id="0">
    <w:p w14:paraId="0355D704" w14:textId="77777777" w:rsidR="006E0059" w:rsidRDefault="006E0059" w:rsidP="005358D7">
      <w:pPr>
        <w:spacing w:after="0" w:line="240" w:lineRule="auto"/>
      </w:pPr>
      <w:r>
        <w:continuationSeparator/>
      </w:r>
    </w:p>
    <w:p w14:paraId="0F2672DF" w14:textId="77777777" w:rsidR="006E0059" w:rsidRDefault="006E0059"/>
  </w:endnote>
  <w:endnote w:type="continuationNotice" w:id="1">
    <w:p w14:paraId="2A7140C8" w14:textId="77777777" w:rsidR="006E0059" w:rsidRDefault="006E0059">
      <w:pPr>
        <w:spacing w:after="0" w:line="240" w:lineRule="auto"/>
      </w:pPr>
    </w:p>
    <w:p w14:paraId="55CEF0DA" w14:textId="77777777" w:rsidR="006E0059" w:rsidRDefault="006E0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6103" w14:textId="77777777" w:rsidR="00EE0647" w:rsidRDefault="00EE06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47CE" w14:textId="1E1AEFA1" w:rsidR="00593521" w:rsidRPr="00EE0647" w:rsidRDefault="00EE0647" w:rsidP="009E09C2">
    <w:pPr>
      <w:pStyle w:val="Fuzeile"/>
      <w:pBdr>
        <w:top w:val="single" w:sz="4" w:space="1" w:color="auto"/>
      </w:pBdr>
      <w:tabs>
        <w:tab w:val="clear" w:pos="4513"/>
        <w:tab w:val="left" w:pos="0"/>
      </w:tabs>
      <w:jc w:val="right"/>
      <w:rPr>
        <w:sz w:val="16"/>
        <w:szCs w:val="16"/>
        <w:lang w:val="es-ES"/>
      </w:rPr>
    </w:pPr>
    <w:bookmarkStart w:id="60" w:name="_Hlk183132012"/>
    <w:bookmarkStart w:id="61" w:name="_Hlk183133930"/>
    <w:r w:rsidRPr="00EE0647">
      <w:rPr>
        <w:sz w:val="16"/>
        <w:lang w:val="es-ES"/>
      </w:rPr>
      <w:t>Anexo sobre seguridad de la información</w:t>
    </w:r>
    <w:bookmarkEnd w:id="60"/>
    <w:bookmarkEnd w:id="61"/>
    <w:r w:rsidRPr="00EE0647">
      <w:rPr>
        <w:sz w:val="16"/>
        <w:lang w:val="es-ES"/>
      </w:rPr>
      <w:t xml:space="preserve"> </w:t>
    </w:r>
    <w:r w:rsidR="00FA27A8" w:rsidRPr="00EE0647">
      <w:rPr>
        <w:sz w:val="16"/>
        <w:szCs w:val="16"/>
        <w:lang w:val="es-ES"/>
      </w:rPr>
      <w:t>C-</w:t>
    </w:r>
    <w:proofErr w:type="spellStart"/>
    <w:r w:rsidR="001908DC" w:rsidRPr="00EE0647">
      <w:rPr>
        <w:sz w:val="16"/>
        <w:szCs w:val="16"/>
        <w:lang w:val="es-ES"/>
      </w:rPr>
      <w:t>oAVB</w:t>
    </w:r>
    <w:proofErr w:type="spellEnd"/>
    <w:r w:rsidR="001908DC" w:rsidRPr="00EE0647">
      <w:rPr>
        <w:sz w:val="16"/>
        <w:szCs w:val="16"/>
        <w:lang w:val="es-ES"/>
      </w:rPr>
      <w:t>-</w:t>
    </w:r>
    <w:r w:rsidR="00E1700B" w:rsidRPr="00EE0647">
      <w:rPr>
        <w:sz w:val="16"/>
        <w:szCs w:val="16"/>
        <w:lang w:val="es-ES"/>
      </w:rPr>
      <w:t>GS-</w:t>
    </w:r>
    <w:proofErr w:type="spellStart"/>
    <w:r w:rsidR="00E1700B" w:rsidRPr="00EE0647">
      <w:rPr>
        <w:sz w:val="16"/>
        <w:szCs w:val="16"/>
        <w:lang w:val="es-ES"/>
      </w:rPr>
      <w:t>OdL</w:t>
    </w:r>
    <w:proofErr w:type="spellEnd"/>
    <w:r w:rsidR="002D0B01" w:rsidRPr="00EE0647">
      <w:rPr>
        <w:sz w:val="16"/>
        <w:szCs w:val="16"/>
        <w:lang w:val="es-ES"/>
      </w:rPr>
      <w:t xml:space="preserve">, </w:t>
    </w:r>
    <w:r w:rsidR="00E1700B" w:rsidRPr="00EE0647">
      <w:rPr>
        <w:sz w:val="16"/>
        <w:szCs w:val="16"/>
        <w:lang w:val="es-ES"/>
      </w:rPr>
      <w:t>18</w:t>
    </w:r>
    <w:r w:rsidR="002D0B01" w:rsidRPr="00EE0647">
      <w:rPr>
        <w:sz w:val="16"/>
        <w:szCs w:val="16"/>
        <w:lang w:val="es-ES"/>
      </w:rPr>
      <w:t>.1</w:t>
    </w:r>
    <w:r w:rsidR="00D32FDE" w:rsidRPr="00EE0647">
      <w:rPr>
        <w:sz w:val="16"/>
        <w:szCs w:val="16"/>
        <w:lang w:val="es-ES"/>
      </w:rPr>
      <w:t>2</w:t>
    </w:r>
    <w:r w:rsidR="002D0B01" w:rsidRPr="00EE0647">
      <w:rPr>
        <w:sz w:val="16"/>
        <w:szCs w:val="16"/>
        <w:lang w:val="es-ES"/>
      </w:rPr>
      <w:t>.2023</w:t>
    </w:r>
    <w:r w:rsidR="00DD2DDC" w:rsidRPr="00EE0647">
      <w:rPr>
        <w:sz w:val="16"/>
        <w:szCs w:val="16"/>
        <w:lang w:val="es-ES"/>
      </w:rPr>
      <w:tab/>
    </w:r>
    <w:r>
      <w:rPr>
        <w:sz w:val="16"/>
        <w:szCs w:val="16"/>
        <w:lang w:val="es-ES"/>
      </w:rPr>
      <w:t>Página</w:t>
    </w:r>
    <w:r w:rsidR="00DD2DDC" w:rsidRPr="00EE0647">
      <w:rPr>
        <w:sz w:val="16"/>
        <w:szCs w:val="16"/>
        <w:lang w:val="es-ES"/>
      </w:rPr>
      <w:t xml:space="preserve"> </w:t>
    </w:r>
    <w:r w:rsidR="00DD2DDC" w:rsidRPr="00DD2DDC">
      <w:rPr>
        <w:sz w:val="16"/>
        <w:szCs w:val="16"/>
      </w:rPr>
      <w:fldChar w:fldCharType="begin"/>
    </w:r>
    <w:r w:rsidR="00DD2DDC" w:rsidRPr="00EE0647">
      <w:rPr>
        <w:sz w:val="16"/>
        <w:szCs w:val="16"/>
        <w:lang w:val="es-ES"/>
      </w:rPr>
      <w:instrText xml:space="preserve"> PAGE   \* MERGEFORMAT </w:instrText>
    </w:r>
    <w:r w:rsidR="00DD2DDC" w:rsidRPr="00DD2DDC">
      <w:rPr>
        <w:sz w:val="16"/>
        <w:szCs w:val="16"/>
      </w:rPr>
      <w:fldChar w:fldCharType="separate"/>
    </w:r>
    <w:r w:rsidR="00DD2DDC" w:rsidRPr="00EE0647">
      <w:rPr>
        <w:noProof/>
        <w:sz w:val="16"/>
        <w:szCs w:val="16"/>
        <w:lang w:val="es-ES"/>
      </w:rPr>
      <w:t>2</w:t>
    </w:r>
    <w:r w:rsidR="00DD2DDC" w:rsidRPr="00DD2DDC">
      <w:rPr>
        <w:sz w:val="16"/>
        <w:szCs w:val="16"/>
      </w:rPr>
      <w:fldChar w:fldCharType="end"/>
    </w:r>
    <w:r w:rsidR="00DD2DDC" w:rsidRPr="00EE0647">
      <w:rPr>
        <w:sz w:val="16"/>
        <w:szCs w:val="16"/>
        <w:lang w:val="es-ES"/>
      </w:rPr>
      <w:t xml:space="preserve"> </w:t>
    </w:r>
    <w:r>
      <w:rPr>
        <w:sz w:val="16"/>
        <w:szCs w:val="16"/>
        <w:lang w:val="es-ES"/>
      </w:rPr>
      <w:t>de</w:t>
    </w:r>
    <w:r w:rsidR="00DD2DDC" w:rsidRPr="00EE0647">
      <w:rPr>
        <w:sz w:val="16"/>
        <w:szCs w:val="16"/>
        <w:lang w:val="es-ES"/>
      </w:rPr>
      <w:t xml:space="preserve"> </w:t>
    </w:r>
    <w:r w:rsidR="00DD2DDC" w:rsidRPr="00DD2DDC">
      <w:rPr>
        <w:sz w:val="16"/>
        <w:szCs w:val="16"/>
      </w:rPr>
      <w:fldChar w:fldCharType="begin"/>
    </w:r>
    <w:r w:rsidR="00DD2DDC" w:rsidRPr="00EE0647">
      <w:rPr>
        <w:sz w:val="16"/>
        <w:szCs w:val="16"/>
        <w:lang w:val="es-ES"/>
      </w:rPr>
      <w:instrText xml:space="preserve"> NUMPAGES   \* MERGEFORMAT </w:instrText>
    </w:r>
    <w:r w:rsidR="00DD2DDC" w:rsidRPr="00DD2DDC">
      <w:rPr>
        <w:sz w:val="16"/>
        <w:szCs w:val="16"/>
      </w:rPr>
      <w:fldChar w:fldCharType="separate"/>
    </w:r>
    <w:r w:rsidR="00DD2DDC" w:rsidRPr="00EE0647">
      <w:rPr>
        <w:noProof/>
        <w:sz w:val="16"/>
        <w:szCs w:val="16"/>
        <w:lang w:val="es-ES"/>
      </w:rPr>
      <w:t>3</w:t>
    </w:r>
    <w:r w:rsidR="00DD2DDC" w:rsidRPr="00DD2DDC">
      <w:rPr>
        <w:sz w:val="16"/>
        <w:szCs w:val="16"/>
      </w:rPr>
      <w:fldChar w:fldCharType="end"/>
    </w:r>
  </w:p>
  <w:p w14:paraId="1EB8A266" w14:textId="77777777" w:rsidR="00FD0E6C" w:rsidRPr="00EE0647" w:rsidRDefault="00FD0E6C">
    <w:pP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E3D9" w14:textId="77777777" w:rsidR="00EE0647" w:rsidRDefault="00EE06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0ADF" w14:textId="77777777" w:rsidR="006E0059" w:rsidRDefault="006E0059" w:rsidP="005358D7">
      <w:pPr>
        <w:spacing w:after="0" w:line="240" w:lineRule="auto"/>
      </w:pPr>
      <w:r>
        <w:separator/>
      </w:r>
    </w:p>
    <w:p w14:paraId="2B3BD266" w14:textId="77777777" w:rsidR="006E0059" w:rsidRDefault="006E0059"/>
  </w:footnote>
  <w:footnote w:type="continuationSeparator" w:id="0">
    <w:p w14:paraId="69023113" w14:textId="77777777" w:rsidR="006E0059" w:rsidRDefault="006E0059" w:rsidP="005358D7">
      <w:pPr>
        <w:spacing w:after="0" w:line="240" w:lineRule="auto"/>
      </w:pPr>
      <w:r>
        <w:continuationSeparator/>
      </w:r>
    </w:p>
    <w:p w14:paraId="14218FAB" w14:textId="77777777" w:rsidR="006E0059" w:rsidRDefault="006E0059"/>
  </w:footnote>
  <w:footnote w:type="continuationNotice" w:id="1">
    <w:p w14:paraId="6DA494E2" w14:textId="77777777" w:rsidR="006E0059" w:rsidRDefault="006E0059">
      <w:pPr>
        <w:spacing w:after="0" w:line="240" w:lineRule="auto"/>
      </w:pPr>
    </w:p>
    <w:p w14:paraId="5DF08874" w14:textId="77777777" w:rsidR="006E0059" w:rsidRDefault="006E00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A37F" w14:textId="77777777" w:rsidR="00EE0647" w:rsidRDefault="00EE06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5" w:type="pct"/>
      <w:tblBorders>
        <w:bottom w:val="single" w:sz="4" w:space="0" w:color="auto"/>
      </w:tblBorders>
      <w:tblLayout w:type="fixed"/>
      <w:tblCellMar>
        <w:left w:w="0" w:type="dxa"/>
        <w:right w:w="0" w:type="dxa"/>
      </w:tblCellMar>
      <w:tblLook w:val="00A0" w:firstRow="1" w:lastRow="0" w:firstColumn="1" w:lastColumn="0" w:noHBand="0" w:noVBand="0"/>
    </w:tblPr>
    <w:tblGrid>
      <w:gridCol w:w="3013"/>
      <w:gridCol w:w="3007"/>
      <w:gridCol w:w="3484"/>
    </w:tblGrid>
    <w:tr w:rsidR="00FC0267" w:rsidRPr="00703906" w14:paraId="3E494873" w14:textId="77777777" w:rsidTr="003E16D5">
      <w:trPr>
        <w:trHeight w:val="20"/>
      </w:trPr>
      <w:tc>
        <w:tcPr>
          <w:tcW w:w="1585" w:type="pct"/>
          <w:vAlign w:val="center"/>
        </w:tcPr>
        <w:p w14:paraId="651070A8" w14:textId="543E576C" w:rsidR="00FC0267" w:rsidRPr="00A1058B" w:rsidRDefault="00FC0267" w:rsidP="00FC0267">
          <w:pPr>
            <w:tabs>
              <w:tab w:val="left" w:pos="3969"/>
              <w:tab w:val="left" w:pos="4414"/>
            </w:tabs>
            <w:spacing w:before="240"/>
            <w:rPr>
              <w:rFonts w:cs="Times New Roman"/>
              <w:b/>
              <w:sz w:val="20"/>
              <w:szCs w:val="20"/>
              <w:lang w:eastAsia="de-DE"/>
            </w:rPr>
          </w:pPr>
        </w:p>
      </w:tc>
      <w:tc>
        <w:tcPr>
          <w:tcW w:w="1582" w:type="pct"/>
        </w:tcPr>
        <w:p w14:paraId="42BEB898" w14:textId="2BC35681" w:rsidR="00FC0267" w:rsidRPr="006A7F32" w:rsidRDefault="00FC0267" w:rsidP="00FC0267">
          <w:pPr>
            <w:pStyle w:val="ISMSKopf-undFusszeile"/>
            <w:jc w:val="center"/>
          </w:pPr>
        </w:p>
      </w:tc>
      <w:tc>
        <w:tcPr>
          <w:tcW w:w="1833" w:type="pct"/>
          <w:vMerge w:val="restart"/>
        </w:tcPr>
        <w:p w14:paraId="29BC77B6" w14:textId="16875DF7" w:rsidR="00FC0267" w:rsidRDefault="00DD2DDC" w:rsidP="00FC0267">
          <w:pPr>
            <w:pStyle w:val="ISMSKopf-undFusszeile"/>
            <w:jc w:val="center"/>
          </w:pPr>
          <w:r>
            <w:rPr>
              <w:noProof/>
            </w:rPr>
            <w:drawing>
              <wp:anchor distT="0" distB="0" distL="114300" distR="114300" simplePos="0" relativeHeight="251660288" behindDoc="0" locked="0" layoutInCell="1" allowOverlap="1" wp14:anchorId="1E5B3131" wp14:editId="7FB3D753">
                <wp:simplePos x="0" y="0"/>
                <wp:positionH relativeFrom="column">
                  <wp:posOffset>911346</wp:posOffset>
                </wp:positionH>
                <wp:positionV relativeFrom="paragraph">
                  <wp:posOffset>95130</wp:posOffset>
                </wp:positionV>
                <wp:extent cx="1280160" cy="536575"/>
                <wp:effectExtent l="0" t="0" r="0" b="0"/>
                <wp:wrapThrough wrapText="bothSides">
                  <wp:wrapPolygon edited="0">
                    <wp:start x="3536" y="3834"/>
                    <wp:lineTo x="1286" y="7669"/>
                    <wp:lineTo x="964" y="13804"/>
                    <wp:lineTo x="1607" y="17638"/>
                    <wp:lineTo x="3536" y="17638"/>
                    <wp:lineTo x="18964" y="13804"/>
                    <wp:lineTo x="18964" y="6902"/>
                    <wp:lineTo x="5464" y="3834"/>
                    <wp:lineTo x="3536" y="3834"/>
                  </wp:wrapPolygon>
                </wp:wrapThrough>
                <wp:docPr id="560413190" name="Grafik 56041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36575"/>
                        </a:xfrm>
                        <a:prstGeom prst="rect">
                          <a:avLst/>
                        </a:prstGeom>
                        <a:noFill/>
                      </pic:spPr>
                    </pic:pic>
                  </a:graphicData>
                </a:graphic>
              </wp:anchor>
            </w:drawing>
          </w:r>
        </w:p>
      </w:tc>
    </w:tr>
    <w:tr w:rsidR="00A1058B" w:rsidRPr="00703906" w14:paraId="21F9084E" w14:textId="77777777" w:rsidTr="003E16D5">
      <w:trPr>
        <w:trHeight w:val="297"/>
      </w:trPr>
      <w:tc>
        <w:tcPr>
          <w:tcW w:w="3167" w:type="pct"/>
          <w:gridSpan w:val="2"/>
        </w:tcPr>
        <w:p w14:paraId="1C6D3A9F" w14:textId="2087D872" w:rsidR="00A1058B" w:rsidRDefault="00A1058B" w:rsidP="009C7044">
          <w:pPr>
            <w:pStyle w:val="ISMSKopf-undFusszeile"/>
            <w:tabs>
              <w:tab w:val="clear" w:pos="3969"/>
              <w:tab w:val="clear" w:pos="9356"/>
              <w:tab w:val="left" w:pos="4694"/>
            </w:tabs>
          </w:pPr>
        </w:p>
      </w:tc>
      <w:tc>
        <w:tcPr>
          <w:tcW w:w="1833" w:type="pct"/>
          <w:vMerge/>
        </w:tcPr>
        <w:p w14:paraId="256EAD3F" w14:textId="77777777" w:rsidR="00A1058B" w:rsidRDefault="00A1058B" w:rsidP="00E2794C">
          <w:pPr>
            <w:pStyle w:val="ISMSKopf-undFusszeile"/>
            <w:jc w:val="center"/>
            <w:rPr>
              <w:noProof/>
            </w:rPr>
          </w:pPr>
        </w:p>
      </w:tc>
    </w:tr>
  </w:tbl>
  <w:p w14:paraId="69C05793" w14:textId="77777777" w:rsidR="00FD0E6C" w:rsidRPr="0036136F" w:rsidRDefault="00FD0E6C" w:rsidP="001853A2">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5" w:type="pct"/>
      <w:tblLayout w:type="fixed"/>
      <w:tblCellMar>
        <w:left w:w="0" w:type="dxa"/>
        <w:right w:w="0" w:type="dxa"/>
      </w:tblCellMar>
      <w:tblLook w:val="00A0" w:firstRow="1" w:lastRow="0" w:firstColumn="1" w:lastColumn="0" w:noHBand="0" w:noVBand="0"/>
    </w:tblPr>
    <w:tblGrid>
      <w:gridCol w:w="3012"/>
      <w:gridCol w:w="3008"/>
      <w:gridCol w:w="3484"/>
    </w:tblGrid>
    <w:tr w:rsidR="00E076BA" w:rsidRPr="00703906" w14:paraId="2F3E0FCF" w14:textId="77777777" w:rsidTr="00E076BA">
      <w:trPr>
        <w:trHeight w:val="317"/>
      </w:trPr>
      <w:tc>
        <w:tcPr>
          <w:tcW w:w="1584" w:type="pct"/>
        </w:tcPr>
        <w:p w14:paraId="69C33FE0" w14:textId="77777777" w:rsidR="00E076BA" w:rsidRPr="00693E68" w:rsidRDefault="00E076BA" w:rsidP="00E076BA">
          <w:pPr>
            <w:tabs>
              <w:tab w:val="left" w:pos="3969"/>
              <w:tab w:val="left" w:pos="4414"/>
            </w:tabs>
            <w:spacing w:before="240"/>
            <w:rPr>
              <w:rFonts w:eastAsia="Times New Roman" w:cs="Times New Roman"/>
              <w:i/>
              <w:iCs/>
              <w:sz w:val="20"/>
              <w:szCs w:val="20"/>
              <w:lang w:eastAsia="de-DE"/>
            </w:rPr>
          </w:pPr>
          <w:bookmarkStart w:id="62" w:name="_Hlk104025352"/>
          <w:r w:rsidRPr="00B371ED">
            <w:rPr>
              <w:rStyle w:val="ISMSKopf-undFusszeileZchn"/>
              <w:rFonts w:eastAsia="Calibri"/>
              <w:b/>
            </w:rPr>
            <w:t xml:space="preserve">                                                              </w:t>
          </w:r>
        </w:p>
      </w:tc>
      <w:tc>
        <w:tcPr>
          <w:tcW w:w="1582" w:type="pct"/>
          <w:vAlign w:val="center"/>
        </w:tcPr>
        <w:p w14:paraId="0276691E" w14:textId="77777777" w:rsidR="00E076BA" w:rsidRPr="006A7F32" w:rsidRDefault="00E076BA" w:rsidP="00E076BA">
          <w:pPr>
            <w:tabs>
              <w:tab w:val="left" w:pos="3969"/>
              <w:tab w:val="right" w:pos="9356"/>
            </w:tabs>
            <w:spacing w:before="120"/>
            <w:jc w:val="center"/>
            <w:rPr>
              <w:rFonts w:eastAsia="Times New Roman" w:cs="Times New Roman"/>
              <w:lang w:eastAsia="de-DE"/>
            </w:rPr>
          </w:pPr>
        </w:p>
      </w:tc>
      <w:tc>
        <w:tcPr>
          <w:tcW w:w="1833" w:type="pct"/>
          <w:vMerge w:val="restart"/>
        </w:tcPr>
        <w:p w14:paraId="13AB573A" w14:textId="77777777" w:rsidR="00E076BA" w:rsidRPr="00116AC0" w:rsidRDefault="00E076BA" w:rsidP="00E076BA">
          <w:pPr>
            <w:tabs>
              <w:tab w:val="left" w:pos="3969"/>
              <w:tab w:val="right" w:pos="9356"/>
            </w:tabs>
            <w:spacing w:before="120"/>
            <w:jc w:val="center"/>
            <w:rPr>
              <w:rFonts w:eastAsia="Times New Roman" w:cs="Times New Roman"/>
              <w:lang w:eastAsia="de-DE"/>
            </w:rPr>
          </w:pPr>
          <w:r>
            <w:rPr>
              <w:rFonts w:eastAsia="Times New Roman" w:cs="Times New Roman"/>
              <w:noProof/>
              <w:lang w:eastAsia="de-DE"/>
            </w:rPr>
            <w:drawing>
              <wp:anchor distT="0" distB="0" distL="114300" distR="114300" simplePos="0" relativeHeight="251657216" behindDoc="0" locked="0" layoutInCell="1" allowOverlap="1" wp14:anchorId="6BEF5477" wp14:editId="57883744">
                <wp:simplePos x="0" y="0"/>
                <wp:positionH relativeFrom="column">
                  <wp:posOffset>920750</wp:posOffset>
                </wp:positionH>
                <wp:positionV relativeFrom="paragraph">
                  <wp:posOffset>15875</wp:posOffset>
                </wp:positionV>
                <wp:extent cx="1280160" cy="536575"/>
                <wp:effectExtent l="0" t="0" r="0" b="0"/>
                <wp:wrapThrough wrapText="bothSides">
                  <wp:wrapPolygon edited="0">
                    <wp:start x="3536" y="3834"/>
                    <wp:lineTo x="1286" y="7669"/>
                    <wp:lineTo x="964" y="13804"/>
                    <wp:lineTo x="1607" y="17638"/>
                    <wp:lineTo x="3536" y="17638"/>
                    <wp:lineTo x="18964" y="13804"/>
                    <wp:lineTo x="18964" y="6902"/>
                    <wp:lineTo x="5464" y="3834"/>
                    <wp:lineTo x="3536" y="3834"/>
                  </wp:wrapPolygon>
                </wp:wrapThrough>
                <wp:docPr id="1901469520" name="Grafik 190146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36575"/>
                        </a:xfrm>
                        <a:prstGeom prst="rect">
                          <a:avLst/>
                        </a:prstGeom>
                        <a:noFill/>
                      </pic:spPr>
                    </pic:pic>
                  </a:graphicData>
                </a:graphic>
              </wp:anchor>
            </w:drawing>
          </w:r>
        </w:p>
      </w:tc>
    </w:tr>
    <w:tr w:rsidR="00E076BA" w:rsidRPr="00703906" w14:paraId="0E20E131" w14:textId="77777777" w:rsidTr="00E076BA">
      <w:trPr>
        <w:trHeight w:val="317"/>
      </w:trPr>
      <w:tc>
        <w:tcPr>
          <w:tcW w:w="1584" w:type="pct"/>
        </w:tcPr>
        <w:p w14:paraId="7AF14A78" w14:textId="77777777" w:rsidR="00E076BA" w:rsidRPr="00B371ED" w:rsidRDefault="00E076BA" w:rsidP="00E076BA">
          <w:pPr>
            <w:tabs>
              <w:tab w:val="left" w:pos="3969"/>
              <w:tab w:val="right" w:pos="9356"/>
            </w:tabs>
            <w:spacing w:before="120"/>
            <w:rPr>
              <w:rStyle w:val="ISMSKopf-undFusszeileZchn"/>
              <w:rFonts w:eastAsia="Calibri"/>
            </w:rPr>
          </w:pPr>
        </w:p>
      </w:tc>
      <w:tc>
        <w:tcPr>
          <w:tcW w:w="1582" w:type="pct"/>
        </w:tcPr>
        <w:p w14:paraId="15C2C85F" w14:textId="77777777" w:rsidR="00E076BA" w:rsidRPr="00B371ED" w:rsidRDefault="00E076BA" w:rsidP="00E076BA">
          <w:pPr>
            <w:tabs>
              <w:tab w:val="left" w:pos="3969"/>
              <w:tab w:val="left" w:pos="4414"/>
            </w:tabs>
            <w:spacing w:before="240"/>
            <w:rPr>
              <w:rStyle w:val="ISMSKopf-undFusszeileZchn"/>
              <w:rFonts w:eastAsia="Calibri"/>
              <w:b/>
            </w:rPr>
          </w:pPr>
        </w:p>
      </w:tc>
      <w:tc>
        <w:tcPr>
          <w:tcW w:w="1833" w:type="pct"/>
          <w:vMerge/>
        </w:tcPr>
        <w:p w14:paraId="6C8D91D7" w14:textId="77777777" w:rsidR="00E076BA" w:rsidRPr="00B371ED" w:rsidRDefault="00E076BA" w:rsidP="00E076BA">
          <w:pPr>
            <w:tabs>
              <w:tab w:val="left" w:pos="3969"/>
              <w:tab w:val="left" w:pos="4414"/>
            </w:tabs>
            <w:spacing w:before="240"/>
            <w:rPr>
              <w:rStyle w:val="ISMSKopf-undFusszeileZchn"/>
              <w:rFonts w:eastAsia="Calibri"/>
              <w:b/>
            </w:rPr>
          </w:pPr>
        </w:p>
      </w:tc>
    </w:tr>
    <w:bookmarkEnd w:id="62"/>
  </w:tbl>
  <w:p w14:paraId="1E6BC07D" w14:textId="77777777" w:rsidR="00E076BA" w:rsidRDefault="00E076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D62"/>
    <w:multiLevelType w:val="hybridMultilevel"/>
    <w:tmpl w:val="D80CE24E"/>
    <w:lvl w:ilvl="0" w:tplc="04070001">
      <w:start w:val="1"/>
      <w:numFmt w:val="bullet"/>
      <w:lvlText w:val=""/>
      <w:lvlJc w:val="left"/>
      <w:pPr>
        <w:ind w:left="1128" w:hanging="76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22B7E"/>
    <w:multiLevelType w:val="hybridMultilevel"/>
    <w:tmpl w:val="3334C9BE"/>
    <w:lvl w:ilvl="0" w:tplc="266411B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B35E5B"/>
    <w:multiLevelType w:val="hybridMultilevel"/>
    <w:tmpl w:val="3BFA648A"/>
    <w:lvl w:ilvl="0" w:tplc="9FF26F22">
      <w:start w:val="1"/>
      <w:numFmt w:val="bullet"/>
      <w:pStyle w:val="Bulletedlist"/>
      <w:lvlText w:val=""/>
      <w:lvlJc w:val="left"/>
      <w:pPr>
        <w:ind w:left="1080" w:hanging="360"/>
      </w:pPr>
      <w:rPr>
        <w:rFonts w:ascii="Symbol" w:hAnsi="Symbol" w:hint="default"/>
      </w:rPr>
    </w:lvl>
    <w:lvl w:ilvl="1" w:tplc="5650AE46">
      <w:numFmt w:val="bullet"/>
      <w:lvlText w:val="-"/>
      <w:lvlJc w:val="left"/>
      <w:pPr>
        <w:ind w:left="1800" w:hanging="36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5F71B67"/>
    <w:multiLevelType w:val="hybridMultilevel"/>
    <w:tmpl w:val="14C4F36C"/>
    <w:lvl w:ilvl="0" w:tplc="FFFFFFFF">
      <w:start w:val="1"/>
      <w:numFmt w:val="bullet"/>
      <w:lvlText w:val=""/>
      <w:lvlJc w:val="left"/>
      <w:pPr>
        <w:ind w:left="1128" w:hanging="76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020725"/>
    <w:multiLevelType w:val="hybridMultilevel"/>
    <w:tmpl w:val="AAAAE2B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A181C32"/>
    <w:multiLevelType w:val="hybridMultilevel"/>
    <w:tmpl w:val="9E300182"/>
    <w:lvl w:ilvl="0" w:tplc="4050C324">
      <w:start w:val="1"/>
      <w:numFmt w:val="bullet"/>
      <w:lvlText w:val=""/>
      <w:lvlJc w:val="left"/>
      <w:pPr>
        <w:ind w:left="720" w:hanging="360"/>
      </w:pPr>
      <w:rPr>
        <w:rFonts w:ascii="Symbol" w:hAnsi="Symbol" w:hint="default"/>
      </w:rPr>
    </w:lvl>
    <w:lvl w:ilvl="1" w:tplc="B6E4B664">
      <w:start w:val="1"/>
      <w:numFmt w:val="bullet"/>
      <w:lvlText w:val="o"/>
      <w:lvlJc w:val="left"/>
      <w:pPr>
        <w:ind w:left="1440" w:hanging="360"/>
      </w:pPr>
      <w:rPr>
        <w:rFonts w:ascii="Courier New" w:hAnsi="Courier New" w:hint="default"/>
      </w:rPr>
    </w:lvl>
    <w:lvl w:ilvl="2" w:tplc="B4140530">
      <w:start w:val="1"/>
      <w:numFmt w:val="bullet"/>
      <w:lvlText w:val=""/>
      <w:lvlJc w:val="left"/>
      <w:pPr>
        <w:ind w:left="2160" w:hanging="360"/>
      </w:pPr>
      <w:rPr>
        <w:rFonts w:ascii="Wingdings" w:hAnsi="Wingdings" w:hint="default"/>
      </w:rPr>
    </w:lvl>
    <w:lvl w:ilvl="3" w:tplc="418613D8">
      <w:start w:val="1"/>
      <w:numFmt w:val="bullet"/>
      <w:lvlText w:val=""/>
      <w:lvlJc w:val="left"/>
      <w:pPr>
        <w:ind w:left="2880" w:hanging="360"/>
      </w:pPr>
      <w:rPr>
        <w:rFonts w:ascii="Symbol" w:hAnsi="Symbol" w:hint="default"/>
      </w:rPr>
    </w:lvl>
    <w:lvl w:ilvl="4" w:tplc="A02AD286">
      <w:start w:val="1"/>
      <w:numFmt w:val="bullet"/>
      <w:lvlText w:val="o"/>
      <w:lvlJc w:val="left"/>
      <w:pPr>
        <w:ind w:left="3600" w:hanging="360"/>
      </w:pPr>
      <w:rPr>
        <w:rFonts w:ascii="Courier New" w:hAnsi="Courier New" w:hint="default"/>
      </w:rPr>
    </w:lvl>
    <w:lvl w:ilvl="5" w:tplc="E6D88876">
      <w:start w:val="1"/>
      <w:numFmt w:val="bullet"/>
      <w:lvlText w:val=""/>
      <w:lvlJc w:val="left"/>
      <w:pPr>
        <w:ind w:left="4320" w:hanging="360"/>
      </w:pPr>
      <w:rPr>
        <w:rFonts w:ascii="Wingdings" w:hAnsi="Wingdings" w:hint="default"/>
      </w:rPr>
    </w:lvl>
    <w:lvl w:ilvl="6" w:tplc="B3D69170">
      <w:start w:val="1"/>
      <w:numFmt w:val="bullet"/>
      <w:lvlText w:val=""/>
      <w:lvlJc w:val="left"/>
      <w:pPr>
        <w:ind w:left="5040" w:hanging="360"/>
      </w:pPr>
      <w:rPr>
        <w:rFonts w:ascii="Symbol" w:hAnsi="Symbol" w:hint="default"/>
      </w:rPr>
    </w:lvl>
    <w:lvl w:ilvl="7" w:tplc="19D45380">
      <w:start w:val="1"/>
      <w:numFmt w:val="bullet"/>
      <w:lvlText w:val="o"/>
      <w:lvlJc w:val="left"/>
      <w:pPr>
        <w:ind w:left="5760" w:hanging="360"/>
      </w:pPr>
      <w:rPr>
        <w:rFonts w:ascii="Courier New" w:hAnsi="Courier New" w:hint="default"/>
      </w:rPr>
    </w:lvl>
    <w:lvl w:ilvl="8" w:tplc="C186DFDA">
      <w:start w:val="1"/>
      <w:numFmt w:val="bullet"/>
      <w:lvlText w:val=""/>
      <w:lvlJc w:val="left"/>
      <w:pPr>
        <w:ind w:left="6480" w:hanging="360"/>
      </w:pPr>
      <w:rPr>
        <w:rFonts w:ascii="Wingdings" w:hAnsi="Wingdings" w:hint="default"/>
      </w:rPr>
    </w:lvl>
  </w:abstractNum>
  <w:abstractNum w:abstractNumId="6" w15:restartNumberingAfterBreak="0">
    <w:nsid w:val="2C6853F4"/>
    <w:multiLevelType w:val="hybridMultilevel"/>
    <w:tmpl w:val="00B8CFDA"/>
    <w:lvl w:ilvl="0" w:tplc="7B92F6D4">
      <w:start w:val="1"/>
      <w:numFmt w:val="bullet"/>
      <w:lvlText w:val=""/>
      <w:lvlJc w:val="left"/>
      <w:pPr>
        <w:ind w:left="720" w:hanging="360"/>
      </w:pPr>
      <w:rPr>
        <w:rFonts w:ascii="Symbol" w:hAnsi="Symbol" w:hint="default"/>
      </w:rPr>
    </w:lvl>
    <w:lvl w:ilvl="1" w:tplc="EA3A74D8">
      <w:start w:val="1"/>
      <w:numFmt w:val="bullet"/>
      <w:lvlText w:val="o"/>
      <w:lvlJc w:val="left"/>
      <w:pPr>
        <w:ind w:left="1440" w:hanging="360"/>
      </w:pPr>
      <w:rPr>
        <w:rFonts w:ascii="Courier New" w:hAnsi="Courier New" w:hint="default"/>
      </w:rPr>
    </w:lvl>
    <w:lvl w:ilvl="2" w:tplc="F88EFBAC">
      <w:start w:val="1"/>
      <w:numFmt w:val="bullet"/>
      <w:lvlText w:val=""/>
      <w:lvlJc w:val="left"/>
      <w:pPr>
        <w:ind w:left="2160" w:hanging="360"/>
      </w:pPr>
      <w:rPr>
        <w:rFonts w:ascii="Wingdings" w:hAnsi="Wingdings" w:hint="default"/>
      </w:rPr>
    </w:lvl>
    <w:lvl w:ilvl="3" w:tplc="984AB6DC">
      <w:start w:val="1"/>
      <w:numFmt w:val="bullet"/>
      <w:lvlText w:val=""/>
      <w:lvlJc w:val="left"/>
      <w:pPr>
        <w:ind w:left="2880" w:hanging="360"/>
      </w:pPr>
      <w:rPr>
        <w:rFonts w:ascii="Symbol" w:hAnsi="Symbol" w:hint="default"/>
      </w:rPr>
    </w:lvl>
    <w:lvl w:ilvl="4" w:tplc="BE80CD10">
      <w:start w:val="1"/>
      <w:numFmt w:val="bullet"/>
      <w:lvlText w:val="o"/>
      <w:lvlJc w:val="left"/>
      <w:pPr>
        <w:ind w:left="3600" w:hanging="360"/>
      </w:pPr>
      <w:rPr>
        <w:rFonts w:ascii="Courier New" w:hAnsi="Courier New" w:hint="default"/>
      </w:rPr>
    </w:lvl>
    <w:lvl w:ilvl="5" w:tplc="62AA8E80">
      <w:start w:val="1"/>
      <w:numFmt w:val="bullet"/>
      <w:lvlText w:val=""/>
      <w:lvlJc w:val="left"/>
      <w:pPr>
        <w:ind w:left="4320" w:hanging="360"/>
      </w:pPr>
      <w:rPr>
        <w:rFonts w:ascii="Wingdings" w:hAnsi="Wingdings" w:hint="default"/>
      </w:rPr>
    </w:lvl>
    <w:lvl w:ilvl="6" w:tplc="61440084">
      <w:start w:val="1"/>
      <w:numFmt w:val="bullet"/>
      <w:lvlText w:val=""/>
      <w:lvlJc w:val="left"/>
      <w:pPr>
        <w:ind w:left="5040" w:hanging="360"/>
      </w:pPr>
      <w:rPr>
        <w:rFonts w:ascii="Symbol" w:hAnsi="Symbol" w:hint="default"/>
      </w:rPr>
    </w:lvl>
    <w:lvl w:ilvl="7" w:tplc="18BC5D9E">
      <w:start w:val="1"/>
      <w:numFmt w:val="bullet"/>
      <w:lvlText w:val="o"/>
      <w:lvlJc w:val="left"/>
      <w:pPr>
        <w:ind w:left="5760" w:hanging="360"/>
      </w:pPr>
      <w:rPr>
        <w:rFonts w:ascii="Courier New" w:hAnsi="Courier New" w:hint="default"/>
      </w:rPr>
    </w:lvl>
    <w:lvl w:ilvl="8" w:tplc="E25432E6">
      <w:start w:val="1"/>
      <w:numFmt w:val="bullet"/>
      <w:lvlText w:val=""/>
      <w:lvlJc w:val="left"/>
      <w:pPr>
        <w:ind w:left="6480" w:hanging="360"/>
      </w:pPr>
      <w:rPr>
        <w:rFonts w:ascii="Wingdings" w:hAnsi="Wingdings" w:hint="default"/>
      </w:rPr>
    </w:lvl>
  </w:abstractNum>
  <w:abstractNum w:abstractNumId="7" w15:restartNumberingAfterBreak="0">
    <w:nsid w:val="2E41360D"/>
    <w:multiLevelType w:val="hybridMultilevel"/>
    <w:tmpl w:val="96DAB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DF11C0"/>
    <w:multiLevelType w:val="hybridMultilevel"/>
    <w:tmpl w:val="25E070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 w15:restartNumberingAfterBreak="0">
    <w:nsid w:val="313D3D6D"/>
    <w:multiLevelType w:val="hybridMultilevel"/>
    <w:tmpl w:val="6A5A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DE119F"/>
    <w:multiLevelType w:val="multilevel"/>
    <w:tmpl w:val="554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194AC6"/>
    <w:multiLevelType w:val="hybridMultilevel"/>
    <w:tmpl w:val="76E0DCA0"/>
    <w:lvl w:ilvl="0" w:tplc="04070001">
      <w:start w:val="1"/>
      <w:numFmt w:val="bullet"/>
      <w:lvlText w:val=""/>
      <w:lvlJc w:val="left"/>
      <w:pPr>
        <w:ind w:left="1128" w:hanging="768"/>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A2369E74">
      <w:numFmt w:val="bullet"/>
      <w:lvlText w:val="-"/>
      <w:lvlJc w:val="left"/>
      <w:pPr>
        <w:ind w:left="2568" w:hanging="768"/>
      </w:pPr>
      <w:rPr>
        <w:rFonts w:ascii="Segoe UI" w:eastAsia="Calibri" w:hAnsi="Segoe UI" w:cs="Segoe U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12330"/>
    <w:multiLevelType w:val="multilevel"/>
    <w:tmpl w:val="2180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065EFF"/>
    <w:multiLevelType w:val="multilevel"/>
    <w:tmpl w:val="F2289A30"/>
    <w:lvl w:ilvl="0">
      <w:start w:val="1"/>
      <w:numFmt w:val="decimal"/>
      <w:pStyle w:val="ISMSEbene1"/>
      <w:lvlText w:val="%1"/>
      <w:lvlJc w:val="left"/>
      <w:pPr>
        <w:ind w:left="360" w:hanging="360"/>
      </w:pPr>
      <w:rPr>
        <w:rFonts w:hint="default"/>
      </w:rPr>
    </w:lvl>
    <w:lvl w:ilvl="1">
      <w:start w:val="1"/>
      <w:numFmt w:val="decimal"/>
      <w:pStyle w:val="ISMSEbene2"/>
      <w:lvlText w:val="%1.%2"/>
      <w:lvlJc w:val="left"/>
      <w:pPr>
        <w:ind w:left="576" w:hanging="576"/>
      </w:pPr>
      <w:rPr>
        <w:rFonts w:hint="default"/>
      </w:rPr>
    </w:lvl>
    <w:lvl w:ilvl="2">
      <w:start w:val="1"/>
      <w:numFmt w:val="decimal"/>
      <w:pStyle w:val="ISMSEbene3"/>
      <w:lvlText w:val="%1.%2.%3"/>
      <w:lvlJc w:val="left"/>
      <w:pPr>
        <w:ind w:left="720" w:hanging="720"/>
      </w:pPr>
      <w:rPr>
        <w:rFonts w:hint="default"/>
      </w:rPr>
    </w:lvl>
    <w:lvl w:ilvl="3">
      <w:start w:val="1"/>
      <w:numFmt w:val="decimal"/>
      <w:pStyle w:val="ISMSEbene4"/>
      <w:lvlText w:val="%1.%2.%3.%4"/>
      <w:lvlJc w:val="left"/>
      <w:pPr>
        <w:ind w:left="864" w:hanging="86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4" w15:restartNumberingAfterBreak="0">
    <w:nsid w:val="43624E35"/>
    <w:multiLevelType w:val="hybridMultilevel"/>
    <w:tmpl w:val="BCFCC226"/>
    <w:lvl w:ilvl="0" w:tplc="FFFFFFFF">
      <w:start w:val="1"/>
      <w:numFmt w:val="bullet"/>
      <w:lvlText w:val=""/>
      <w:lvlJc w:val="left"/>
      <w:pPr>
        <w:ind w:left="1128" w:hanging="76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112673"/>
    <w:multiLevelType w:val="hybridMultilevel"/>
    <w:tmpl w:val="FD624854"/>
    <w:lvl w:ilvl="0" w:tplc="FFFFFFFF">
      <w:start w:val="1"/>
      <w:numFmt w:val="bullet"/>
      <w:lvlText w:val=""/>
      <w:lvlJc w:val="left"/>
      <w:pPr>
        <w:ind w:left="1128" w:hanging="76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A437FC"/>
    <w:multiLevelType w:val="hybridMultilevel"/>
    <w:tmpl w:val="F8289BEE"/>
    <w:lvl w:ilvl="0" w:tplc="F8CA2A5C">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DF349B"/>
    <w:multiLevelType w:val="hybridMultilevel"/>
    <w:tmpl w:val="50568D7E"/>
    <w:lvl w:ilvl="0" w:tplc="82B6221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43793D"/>
    <w:multiLevelType w:val="hybridMultilevel"/>
    <w:tmpl w:val="C1488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A152A1"/>
    <w:multiLevelType w:val="multilevel"/>
    <w:tmpl w:val="28721BD6"/>
    <w:lvl w:ilvl="0">
      <w:start w:val="1"/>
      <w:numFmt w:val="bullet"/>
      <w:pStyle w:val="ISMSAufzhlung1"/>
      <w:lvlText w:val=""/>
      <w:lvlJc w:val="left"/>
      <w:pPr>
        <w:ind w:left="720" w:hanging="360"/>
      </w:pPr>
      <w:rPr>
        <w:rFonts w:ascii="Wingdings" w:hAnsi="Wingdings" w:hint="default"/>
      </w:rPr>
    </w:lvl>
    <w:lvl w:ilvl="1">
      <w:start w:val="2"/>
      <w:numFmt w:val="bullet"/>
      <w:pStyle w:val="ISMSAufzhlung2"/>
      <w:lvlText w:val="▫"/>
      <w:lvlJc w:val="left"/>
      <w:pPr>
        <w:ind w:left="1440" w:hanging="360"/>
      </w:pPr>
      <w:rPr>
        <w:rFonts w:ascii="Arial" w:eastAsia="Arial" w:hAnsi="Arial" w:hint="default"/>
      </w:rPr>
    </w:lvl>
    <w:lvl w:ilvl="2">
      <w:start w:val="2"/>
      <w:numFmt w:val="bullet"/>
      <w:lvlText w:val="-"/>
      <w:lvlJc w:val="left"/>
      <w:pPr>
        <w:ind w:left="2160" w:hanging="360"/>
      </w:pPr>
      <w:rPr>
        <w:rFonts w:ascii="Arial" w:eastAsia="Arial"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562996"/>
    <w:multiLevelType w:val="hybridMultilevel"/>
    <w:tmpl w:val="53EE2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3144E5"/>
    <w:multiLevelType w:val="hybridMultilevel"/>
    <w:tmpl w:val="8E30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02810"/>
    <w:multiLevelType w:val="hybridMultilevel"/>
    <w:tmpl w:val="7B22564E"/>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A120678"/>
    <w:multiLevelType w:val="hybridMultilevel"/>
    <w:tmpl w:val="53BE29BE"/>
    <w:lvl w:ilvl="0" w:tplc="04070001">
      <w:start w:val="1"/>
      <w:numFmt w:val="bullet"/>
      <w:lvlText w:val=""/>
      <w:lvlJc w:val="left"/>
      <w:pPr>
        <w:ind w:left="1128" w:hanging="76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3C2D38"/>
    <w:multiLevelType w:val="hybridMultilevel"/>
    <w:tmpl w:val="65C01540"/>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0160C4"/>
    <w:multiLevelType w:val="hybridMultilevel"/>
    <w:tmpl w:val="31AC1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0314888">
    <w:abstractNumId w:val="19"/>
  </w:num>
  <w:num w:numId="2" w16cid:durableId="1156801740">
    <w:abstractNumId w:val="19"/>
  </w:num>
  <w:num w:numId="3" w16cid:durableId="402602058">
    <w:abstractNumId w:val="19"/>
  </w:num>
  <w:num w:numId="4" w16cid:durableId="1373071547">
    <w:abstractNumId w:val="13"/>
  </w:num>
  <w:num w:numId="5" w16cid:durableId="354694220">
    <w:abstractNumId w:val="13"/>
  </w:num>
  <w:num w:numId="6" w16cid:durableId="1394739319">
    <w:abstractNumId w:val="13"/>
  </w:num>
  <w:num w:numId="7" w16cid:durableId="1790276494">
    <w:abstractNumId w:val="13"/>
  </w:num>
  <w:num w:numId="8" w16cid:durableId="523254733">
    <w:abstractNumId w:val="5"/>
  </w:num>
  <w:num w:numId="9" w16cid:durableId="1906331773">
    <w:abstractNumId w:val="6"/>
  </w:num>
  <w:num w:numId="10" w16cid:durableId="1141119604">
    <w:abstractNumId w:val="2"/>
  </w:num>
  <w:num w:numId="11" w16cid:durableId="2097167479">
    <w:abstractNumId w:val="22"/>
  </w:num>
  <w:num w:numId="12" w16cid:durableId="693267024">
    <w:abstractNumId w:val="7"/>
  </w:num>
  <w:num w:numId="13" w16cid:durableId="476533161">
    <w:abstractNumId w:val="4"/>
  </w:num>
  <w:num w:numId="14" w16cid:durableId="1569262541">
    <w:abstractNumId w:val="21"/>
  </w:num>
  <w:num w:numId="15" w16cid:durableId="1834761001">
    <w:abstractNumId w:val="25"/>
  </w:num>
  <w:num w:numId="16" w16cid:durableId="122038717">
    <w:abstractNumId w:val="20"/>
  </w:num>
  <w:num w:numId="17" w16cid:durableId="363135703">
    <w:abstractNumId w:val="18"/>
  </w:num>
  <w:num w:numId="18" w16cid:durableId="1699625127">
    <w:abstractNumId w:val="9"/>
  </w:num>
  <w:num w:numId="19" w16cid:durableId="1431855318">
    <w:abstractNumId w:val="10"/>
  </w:num>
  <w:num w:numId="20" w16cid:durableId="1893033589">
    <w:abstractNumId w:val="12"/>
  </w:num>
  <w:num w:numId="21" w16cid:durableId="157574738">
    <w:abstractNumId w:val="13"/>
  </w:num>
  <w:num w:numId="22" w16cid:durableId="1700541465">
    <w:abstractNumId w:val="1"/>
  </w:num>
  <w:num w:numId="23" w16cid:durableId="1327325911">
    <w:abstractNumId w:val="23"/>
  </w:num>
  <w:num w:numId="24" w16cid:durableId="664892399">
    <w:abstractNumId w:val="0"/>
  </w:num>
  <w:num w:numId="25" w16cid:durableId="246228572">
    <w:abstractNumId w:val="11"/>
  </w:num>
  <w:num w:numId="26" w16cid:durableId="410003061">
    <w:abstractNumId w:val="8"/>
  </w:num>
  <w:num w:numId="27" w16cid:durableId="237600431">
    <w:abstractNumId w:val="14"/>
  </w:num>
  <w:num w:numId="28" w16cid:durableId="2044204159">
    <w:abstractNumId w:val="3"/>
  </w:num>
  <w:num w:numId="29" w16cid:durableId="952128133">
    <w:abstractNumId w:val="15"/>
  </w:num>
  <w:num w:numId="30" w16cid:durableId="1008945548">
    <w:abstractNumId w:val="16"/>
  </w:num>
  <w:num w:numId="31" w16cid:durableId="40177368">
    <w:abstractNumId w:val="24"/>
  </w:num>
  <w:num w:numId="32" w16cid:durableId="16440385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04"/>
    <w:rsid w:val="000018EC"/>
    <w:rsid w:val="000057F1"/>
    <w:rsid w:val="0000602F"/>
    <w:rsid w:val="00006C5A"/>
    <w:rsid w:val="00010654"/>
    <w:rsid w:val="00011E5F"/>
    <w:rsid w:val="00017A62"/>
    <w:rsid w:val="000219CE"/>
    <w:rsid w:val="000255B8"/>
    <w:rsid w:val="00027844"/>
    <w:rsid w:val="0003062E"/>
    <w:rsid w:val="00032774"/>
    <w:rsid w:val="0003421B"/>
    <w:rsid w:val="000414E1"/>
    <w:rsid w:val="00045AA8"/>
    <w:rsid w:val="00053600"/>
    <w:rsid w:val="00053873"/>
    <w:rsid w:val="00064E0B"/>
    <w:rsid w:val="0007086C"/>
    <w:rsid w:val="00070A7E"/>
    <w:rsid w:val="00073231"/>
    <w:rsid w:val="000759CB"/>
    <w:rsid w:val="00076A12"/>
    <w:rsid w:val="000826D0"/>
    <w:rsid w:val="00083568"/>
    <w:rsid w:val="000846E9"/>
    <w:rsid w:val="00086442"/>
    <w:rsid w:val="0008670A"/>
    <w:rsid w:val="00091038"/>
    <w:rsid w:val="000914F2"/>
    <w:rsid w:val="00091D43"/>
    <w:rsid w:val="00092F28"/>
    <w:rsid w:val="00097975"/>
    <w:rsid w:val="000A2ABE"/>
    <w:rsid w:val="000A5013"/>
    <w:rsid w:val="000B084A"/>
    <w:rsid w:val="000B0B1B"/>
    <w:rsid w:val="000B69B5"/>
    <w:rsid w:val="000B6F9F"/>
    <w:rsid w:val="000B7C41"/>
    <w:rsid w:val="000C0BEC"/>
    <w:rsid w:val="000C21BC"/>
    <w:rsid w:val="000C3BAC"/>
    <w:rsid w:val="000C4F1A"/>
    <w:rsid w:val="000D0974"/>
    <w:rsid w:val="000D0AFD"/>
    <w:rsid w:val="000D28BD"/>
    <w:rsid w:val="000D4AFC"/>
    <w:rsid w:val="000D651A"/>
    <w:rsid w:val="000D7DC7"/>
    <w:rsid w:val="000E158F"/>
    <w:rsid w:val="000F28F8"/>
    <w:rsid w:val="000F6535"/>
    <w:rsid w:val="000F7118"/>
    <w:rsid w:val="00102508"/>
    <w:rsid w:val="00105805"/>
    <w:rsid w:val="00107D8B"/>
    <w:rsid w:val="00111BA7"/>
    <w:rsid w:val="00113EDD"/>
    <w:rsid w:val="00114086"/>
    <w:rsid w:val="00115EB1"/>
    <w:rsid w:val="00116AC0"/>
    <w:rsid w:val="00116D41"/>
    <w:rsid w:val="001208A0"/>
    <w:rsid w:val="00122162"/>
    <w:rsid w:val="00122D14"/>
    <w:rsid w:val="00122F7C"/>
    <w:rsid w:val="00125D69"/>
    <w:rsid w:val="00126EBF"/>
    <w:rsid w:val="00132264"/>
    <w:rsid w:val="0013409C"/>
    <w:rsid w:val="00134400"/>
    <w:rsid w:val="001363C2"/>
    <w:rsid w:val="001400E8"/>
    <w:rsid w:val="00145BB7"/>
    <w:rsid w:val="00151C2A"/>
    <w:rsid w:val="0015752D"/>
    <w:rsid w:val="001620F3"/>
    <w:rsid w:val="001645A4"/>
    <w:rsid w:val="00165E9E"/>
    <w:rsid w:val="00167D4F"/>
    <w:rsid w:val="001722B9"/>
    <w:rsid w:val="00172A93"/>
    <w:rsid w:val="00175CCB"/>
    <w:rsid w:val="001819B3"/>
    <w:rsid w:val="00182315"/>
    <w:rsid w:val="00182DC9"/>
    <w:rsid w:val="00183794"/>
    <w:rsid w:val="001853A2"/>
    <w:rsid w:val="001908DC"/>
    <w:rsid w:val="001951D4"/>
    <w:rsid w:val="001A0E38"/>
    <w:rsid w:val="001A18BE"/>
    <w:rsid w:val="001A2ADC"/>
    <w:rsid w:val="001A61DA"/>
    <w:rsid w:val="001B598E"/>
    <w:rsid w:val="001C08F7"/>
    <w:rsid w:val="001C1EC8"/>
    <w:rsid w:val="001C3DF9"/>
    <w:rsid w:val="001D22A5"/>
    <w:rsid w:val="001E0F71"/>
    <w:rsid w:val="001E202F"/>
    <w:rsid w:val="001E334B"/>
    <w:rsid w:val="001F29A4"/>
    <w:rsid w:val="001F4057"/>
    <w:rsid w:val="00201014"/>
    <w:rsid w:val="00201A8A"/>
    <w:rsid w:val="0021160D"/>
    <w:rsid w:val="00211718"/>
    <w:rsid w:val="00212952"/>
    <w:rsid w:val="00213033"/>
    <w:rsid w:val="002132AF"/>
    <w:rsid w:val="00213F9B"/>
    <w:rsid w:val="00217445"/>
    <w:rsid w:val="00217FB2"/>
    <w:rsid w:val="002204E6"/>
    <w:rsid w:val="00220F63"/>
    <w:rsid w:val="002265B1"/>
    <w:rsid w:val="00226753"/>
    <w:rsid w:val="002271B1"/>
    <w:rsid w:val="0022748F"/>
    <w:rsid w:val="00230D9D"/>
    <w:rsid w:val="00234CCF"/>
    <w:rsid w:val="002403F3"/>
    <w:rsid w:val="002414F3"/>
    <w:rsid w:val="002563DF"/>
    <w:rsid w:val="00257C4E"/>
    <w:rsid w:val="00260FCF"/>
    <w:rsid w:val="0026465E"/>
    <w:rsid w:val="00265C52"/>
    <w:rsid w:val="002661E1"/>
    <w:rsid w:val="00270ED7"/>
    <w:rsid w:val="002867F5"/>
    <w:rsid w:val="002929F8"/>
    <w:rsid w:val="00296F65"/>
    <w:rsid w:val="002A39FC"/>
    <w:rsid w:val="002A3BFD"/>
    <w:rsid w:val="002B0713"/>
    <w:rsid w:val="002B1442"/>
    <w:rsid w:val="002B3F73"/>
    <w:rsid w:val="002B486C"/>
    <w:rsid w:val="002B5010"/>
    <w:rsid w:val="002C430E"/>
    <w:rsid w:val="002D0B01"/>
    <w:rsid w:val="002D3268"/>
    <w:rsid w:val="002E649A"/>
    <w:rsid w:val="002E7AE2"/>
    <w:rsid w:val="002F38D9"/>
    <w:rsid w:val="002F4261"/>
    <w:rsid w:val="002F7358"/>
    <w:rsid w:val="002F7CCC"/>
    <w:rsid w:val="003035FF"/>
    <w:rsid w:val="00310231"/>
    <w:rsid w:val="003108D2"/>
    <w:rsid w:val="00310C38"/>
    <w:rsid w:val="0031391C"/>
    <w:rsid w:val="00320D4C"/>
    <w:rsid w:val="003220DB"/>
    <w:rsid w:val="00323354"/>
    <w:rsid w:val="00327602"/>
    <w:rsid w:val="00327DB5"/>
    <w:rsid w:val="00330168"/>
    <w:rsid w:val="00334AF8"/>
    <w:rsid w:val="00340598"/>
    <w:rsid w:val="00341834"/>
    <w:rsid w:val="00343C43"/>
    <w:rsid w:val="00345AFD"/>
    <w:rsid w:val="0035342E"/>
    <w:rsid w:val="003535B7"/>
    <w:rsid w:val="00360AFA"/>
    <w:rsid w:val="0036136F"/>
    <w:rsid w:val="00365C0D"/>
    <w:rsid w:val="0037021D"/>
    <w:rsid w:val="003703B9"/>
    <w:rsid w:val="00370B77"/>
    <w:rsid w:val="00371EFD"/>
    <w:rsid w:val="00374859"/>
    <w:rsid w:val="003825C2"/>
    <w:rsid w:val="00385298"/>
    <w:rsid w:val="003853B0"/>
    <w:rsid w:val="00392808"/>
    <w:rsid w:val="0039619C"/>
    <w:rsid w:val="003A2E65"/>
    <w:rsid w:val="003A5C3B"/>
    <w:rsid w:val="003B2C05"/>
    <w:rsid w:val="003B357D"/>
    <w:rsid w:val="003B3654"/>
    <w:rsid w:val="003B5346"/>
    <w:rsid w:val="003C1301"/>
    <w:rsid w:val="003C4012"/>
    <w:rsid w:val="003E16D5"/>
    <w:rsid w:val="003E1D2B"/>
    <w:rsid w:val="003F0A92"/>
    <w:rsid w:val="003F0F42"/>
    <w:rsid w:val="003F125D"/>
    <w:rsid w:val="003F1948"/>
    <w:rsid w:val="003F2738"/>
    <w:rsid w:val="003F48DA"/>
    <w:rsid w:val="003F58AF"/>
    <w:rsid w:val="003F6344"/>
    <w:rsid w:val="00415741"/>
    <w:rsid w:val="00422C5A"/>
    <w:rsid w:val="0042342D"/>
    <w:rsid w:val="00424071"/>
    <w:rsid w:val="00424EE8"/>
    <w:rsid w:val="00426D42"/>
    <w:rsid w:val="00427A29"/>
    <w:rsid w:val="00430C8D"/>
    <w:rsid w:val="00432A9C"/>
    <w:rsid w:val="00437FE8"/>
    <w:rsid w:val="004426E1"/>
    <w:rsid w:val="00445403"/>
    <w:rsid w:val="0044629B"/>
    <w:rsid w:val="0044779C"/>
    <w:rsid w:val="00447D2B"/>
    <w:rsid w:val="0045101D"/>
    <w:rsid w:val="004519DE"/>
    <w:rsid w:val="00452F3E"/>
    <w:rsid w:val="0045488B"/>
    <w:rsid w:val="0045512D"/>
    <w:rsid w:val="00457FCF"/>
    <w:rsid w:val="00462F7E"/>
    <w:rsid w:val="00462FDE"/>
    <w:rsid w:val="00464354"/>
    <w:rsid w:val="00464A3B"/>
    <w:rsid w:val="00465531"/>
    <w:rsid w:val="00465B18"/>
    <w:rsid w:val="004670FC"/>
    <w:rsid w:val="00472AAE"/>
    <w:rsid w:val="00472BBD"/>
    <w:rsid w:val="00472C42"/>
    <w:rsid w:val="004802FB"/>
    <w:rsid w:val="00481A2F"/>
    <w:rsid w:val="00482396"/>
    <w:rsid w:val="00483533"/>
    <w:rsid w:val="0048500E"/>
    <w:rsid w:val="0048671D"/>
    <w:rsid w:val="004A27BC"/>
    <w:rsid w:val="004C307C"/>
    <w:rsid w:val="004C5F1B"/>
    <w:rsid w:val="004C7425"/>
    <w:rsid w:val="004D0662"/>
    <w:rsid w:val="004D0BCA"/>
    <w:rsid w:val="004D450A"/>
    <w:rsid w:val="004D6416"/>
    <w:rsid w:val="004E72C9"/>
    <w:rsid w:val="004F0D16"/>
    <w:rsid w:val="004F182B"/>
    <w:rsid w:val="00507BF8"/>
    <w:rsid w:val="005156C9"/>
    <w:rsid w:val="00520506"/>
    <w:rsid w:val="00523717"/>
    <w:rsid w:val="005256F1"/>
    <w:rsid w:val="0052607D"/>
    <w:rsid w:val="00527B75"/>
    <w:rsid w:val="00527EB2"/>
    <w:rsid w:val="00531D83"/>
    <w:rsid w:val="00532CBC"/>
    <w:rsid w:val="005358D7"/>
    <w:rsid w:val="00550542"/>
    <w:rsid w:val="00551E88"/>
    <w:rsid w:val="005527D1"/>
    <w:rsid w:val="0055737A"/>
    <w:rsid w:val="00562465"/>
    <w:rsid w:val="00566F76"/>
    <w:rsid w:val="0057149E"/>
    <w:rsid w:val="00572F11"/>
    <w:rsid w:val="0057544E"/>
    <w:rsid w:val="00582C13"/>
    <w:rsid w:val="00582DF7"/>
    <w:rsid w:val="005852E3"/>
    <w:rsid w:val="00586153"/>
    <w:rsid w:val="005870E0"/>
    <w:rsid w:val="00591C5E"/>
    <w:rsid w:val="00593521"/>
    <w:rsid w:val="005941E7"/>
    <w:rsid w:val="00595681"/>
    <w:rsid w:val="00596A54"/>
    <w:rsid w:val="005A032B"/>
    <w:rsid w:val="005A0A4F"/>
    <w:rsid w:val="005A1CCD"/>
    <w:rsid w:val="005A4C4B"/>
    <w:rsid w:val="005A4CB4"/>
    <w:rsid w:val="005A7A55"/>
    <w:rsid w:val="005C102C"/>
    <w:rsid w:val="005C496B"/>
    <w:rsid w:val="005C7B32"/>
    <w:rsid w:val="005D29C7"/>
    <w:rsid w:val="005D2D34"/>
    <w:rsid w:val="005D2D79"/>
    <w:rsid w:val="005D459B"/>
    <w:rsid w:val="005D5084"/>
    <w:rsid w:val="005E1550"/>
    <w:rsid w:val="005E4582"/>
    <w:rsid w:val="005E4B50"/>
    <w:rsid w:val="005E523D"/>
    <w:rsid w:val="005E6186"/>
    <w:rsid w:val="005E6231"/>
    <w:rsid w:val="005F3383"/>
    <w:rsid w:val="005F79A6"/>
    <w:rsid w:val="00600671"/>
    <w:rsid w:val="006022DE"/>
    <w:rsid w:val="00603272"/>
    <w:rsid w:val="00603523"/>
    <w:rsid w:val="0060622D"/>
    <w:rsid w:val="00611D3B"/>
    <w:rsid w:val="006125A5"/>
    <w:rsid w:val="00617433"/>
    <w:rsid w:val="00621BC7"/>
    <w:rsid w:val="0062627D"/>
    <w:rsid w:val="00632A52"/>
    <w:rsid w:val="00632ABE"/>
    <w:rsid w:val="00636A41"/>
    <w:rsid w:val="00644DA0"/>
    <w:rsid w:val="006459D2"/>
    <w:rsid w:val="0065400A"/>
    <w:rsid w:val="00655786"/>
    <w:rsid w:val="00661146"/>
    <w:rsid w:val="00661207"/>
    <w:rsid w:val="00662262"/>
    <w:rsid w:val="00664B6A"/>
    <w:rsid w:val="00664CA0"/>
    <w:rsid w:val="006657E8"/>
    <w:rsid w:val="00666717"/>
    <w:rsid w:val="00667941"/>
    <w:rsid w:val="006679A8"/>
    <w:rsid w:val="00671E96"/>
    <w:rsid w:val="00672001"/>
    <w:rsid w:val="006774B3"/>
    <w:rsid w:val="00680E39"/>
    <w:rsid w:val="00682DDF"/>
    <w:rsid w:val="00691E41"/>
    <w:rsid w:val="00693AFA"/>
    <w:rsid w:val="006948DB"/>
    <w:rsid w:val="00696549"/>
    <w:rsid w:val="006A2E72"/>
    <w:rsid w:val="006A32C6"/>
    <w:rsid w:val="006A4680"/>
    <w:rsid w:val="006A66C3"/>
    <w:rsid w:val="006B368D"/>
    <w:rsid w:val="006C1C2E"/>
    <w:rsid w:val="006C28E5"/>
    <w:rsid w:val="006D4F11"/>
    <w:rsid w:val="006D77B9"/>
    <w:rsid w:val="006E0059"/>
    <w:rsid w:val="006E73FE"/>
    <w:rsid w:val="006E78CD"/>
    <w:rsid w:val="006F0E04"/>
    <w:rsid w:val="006F2196"/>
    <w:rsid w:val="006F69E1"/>
    <w:rsid w:val="007013DE"/>
    <w:rsid w:val="007034D6"/>
    <w:rsid w:val="007076F4"/>
    <w:rsid w:val="0072150C"/>
    <w:rsid w:val="0072243A"/>
    <w:rsid w:val="00727E8D"/>
    <w:rsid w:val="00727F9D"/>
    <w:rsid w:val="00734770"/>
    <w:rsid w:val="00734C85"/>
    <w:rsid w:val="00735096"/>
    <w:rsid w:val="00735CA9"/>
    <w:rsid w:val="0073733F"/>
    <w:rsid w:val="00742049"/>
    <w:rsid w:val="00743BEC"/>
    <w:rsid w:val="00745F7A"/>
    <w:rsid w:val="0074623B"/>
    <w:rsid w:val="007516AD"/>
    <w:rsid w:val="00752678"/>
    <w:rsid w:val="007526BC"/>
    <w:rsid w:val="007547E4"/>
    <w:rsid w:val="007553AE"/>
    <w:rsid w:val="00763FE1"/>
    <w:rsid w:val="00764B26"/>
    <w:rsid w:val="007677FB"/>
    <w:rsid w:val="00772934"/>
    <w:rsid w:val="00774E03"/>
    <w:rsid w:val="0078058E"/>
    <w:rsid w:val="00781E4E"/>
    <w:rsid w:val="007842CC"/>
    <w:rsid w:val="00784398"/>
    <w:rsid w:val="00785298"/>
    <w:rsid w:val="0078602F"/>
    <w:rsid w:val="0078701D"/>
    <w:rsid w:val="00795897"/>
    <w:rsid w:val="007A0EE0"/>
    <w:rsid w:val="007A39D8"/>
    <w:rsid w:val="007A3F35"/>
    <w:rsid w:val="007A4AF5"/>
    <w:rsid w:val="007A50EA"/>
    <w:rsid w:val="007A5C21"/>
    <w:rsid w:val="007A5CBB"/>
    <w:rsid w:val="007A6A36"/>
    <w:rsid w:val="007B1E3B"/>
    <w:rsid w:val="007B286D"/>
    <w:rsid w:val="007B7902"/>
    <w:rsid w:val="007C78D9"/>
    <w:rsid w:val="007C7AB5"/>
    <w:rsid w:val="007D104D"/>
    <w:rsid w:val="007D489A"/>
    <w:rsid w:val="007D5BBA"/>
    <w:rsid w:val="007F309A"/>
    <w:rsid w:val="007F6896"/>
    <w:rsid w:val="00800D2F"/>
    <w:rsid w:val="0080111C"/>
    <w:rsid w:val="00802625"/>
    <w:rsid w:val="00804A1C"/>
    <w:rsid w:val="00813104"/>
    <w:rsid w:val="00813E5E"/>
    <w:rsid w:val="00815B05"/>
    <w:rsid w:val="00823BE9"/>
    <w:rsid w:val="008247C3"/>
    <w:rsid w:val="008322F6"/>
    <w:rsid w:val="008329F6"/>
    <w:rsid w:val="00832A6C"/>
    <w:rsid w:val="00835950"/>
    <w:rsid w:val="00840E2D"/>
    <w:rsid w:val="0084218B"/>
    <w:rsid w:val="00843664"/>
    <w:rsid w:val="00844167"/>
    <w:rsid w:val="00844FBE"/>
    <w:rsid w:val="008477A8"/>
    <w:rsid w:val="00847B4C"/>
    <w:rsid w:val="008526F7"/>
    <w:rsid w:val="00853135"/>
    <w:rsid w:val="0085572F"/>
    <w:rsid w:val="00857382"/>
    <w:rsid w:val="00862211"/>
    <w:rsid w:val="00862AF7"/>
    <w:rsid w:val="00862B6E"/>
    <w:rsid w:val="0086334D"/>
    <w:rsid w:val="008639C8"/>
    <w:rsid w:val="008642CF"/>
    <w:rsid w:val="00865429"/>
    <w:rsid w:val="00865C6D"/>
    <w:rsid w:val="00867A5C"/>
    <w:rsid w:val="00867FD2"/>
    <w:rsid w:val="008731E4"/>
    <w:rsid w:val="008818DC"/>
    <w:rsid w:val="008819F7"/>
    <w:rsid w:val="00885027"/>
    <w:rsid w:val="00886713"/>
    <w:rsid w:val="008872C6"/>
    <w:rsid w:val="008A1D26"/>
    <w:rsid w:val="008C604B"/>
    <w:rsid w:val="008C690F"/>
    <w:rsid w:val="008D08A1"/>
    <w:rsid w:val="008D6A10"/>
    <w:rsid w:val="008E0A05"/>
    <w:rsid w:val="008E72C6"/>
    <w:rsid w:val="008F6CAD"/>
    <w:rsid w:val="00906365"/>
    <w:rsid w:val="0091368D"/>
    <w:rsid w:val="00921643"/>
    <w:rsid w:val="00930CC6"/>
    <w:rsid w:val="00933A96"/>
    <w:rsid w:val="009405B6"/>
    <w:rsid w:val="00947D45"/>
    <w:rsid w:val="00951CD8"/>
    <w:rsid w:val="00954EE3"/>
    <w:rsid w:val="00957046"/>
    <w:rsid w:val="009636F7"/>
    <w:rsid w:val="0096488C"/>
    <w:rsid w:val="0096583E"/>
    <w:rsid w:val="00974D7D"/>
    <w:rsid w:val="009765D1"/>
    <w:rsid w:val="00980289"/>
    <w:rsid w:val="009875AF"/>
    <w:rsid w:val="00991507"/>
    <w:rsid w:val="0099212A"/>
    <w:rsid w:val="00995D45"/>
    <w:rsid w:val="00997AC2"/>
    <w:rsid w:val="009A523F"/>
    <w:rsid w:val="009A7F4A"/>
    <w:rsid w:val="009B08E3"/>
    <w:rsid w:val="009B1EB1"/>
    <w:rsid w:val="009B652B"/>
    <w:rsid w:val="009B7343"/>
    <w:rsid w:val="009C0D6E"/>
    <w:rsid w:val="009C31E6"/>
    <w:rsid w:val="009C3E16"/>
    <w:rsid w:val="009C7044"/>
    <w:rsid w:val="009C723B"/>
    <w:rsid w:val="009D2D88"/>
    <w:rsid w:val="009D44F0"/>
    <w:rsid w:val="009E097D"/>
    <w:rsid w:val="009E09C2"/>
    <w:rsid w:val="009E0F90"/>
    <w:rsid w:val="009E38B5"/>
    <w:rsid w:val="009F05E6"/>
    <w:rsid w:val="009F284B"/>
    <w:rsid w:val="009F2EDF"/>
    <w:rsid w:val="009F31FB"/>
    <w:rsid w:val="009F5741"/>
    <w:rsid w:val="00A075DF"/>
    <w:rsid w:val="00A1058B"/>
    <w:rsid w:val="00A11E72"/>
    <w:rsid w:val="00A14762"/>
    <w:rsid w:val="00A14EB5"/>
    <w:rsid w:val="00A267A3"/>
    <w:rsid w:val="00A35A36"/>
    <w:rsid w:val="00A35C4F"/>
    <w:rsid w:val="00A40A5D"/>
    <w:rsid w:val="00A424A3"/>
    <w:rsid w:val="00A46233"/>
    <w:rsid w:val="00A47808"/>
    <w:rsid w:val="00A50704"/>
    <w:rsid w:val="00A50EDB"/>
    <w:rsid w:val="00A5183C"/>
    <w:rsid w:val="00A65679"/>
    <w:rsid w:val="00A65C52"/>
    <w:rsid w:val="00A66A53"/>
    <w:rsid w:val="00A724E9"/>
    <w:rsid w:val="00A730F0"/>
    <w:rsid w:val="00A74235"/>
    <w:rsid w:val="00A83611"/>
    <w:rsid w:val="00A87DC5"/>
    <w:rsid w:val="00A90A8E"/>
    <w:rsid w:val="00A91805"/>
    <w:rsid w:val="00A91B04"/>
    <w:rsid w:val="00A92580"/>
    <w:rsid w:val="00A93368"/>
    <w:rsid w:val="00AA1DB3"/>
    <w:rsid w:val="00AA24C6"/>
    <w:rsid w:val="00AA313A"/>
    <w:rsid w:val="00AA720F"/>
    <w:rsid w:val="00AB0C14"/>
    <w:rsid w:val="00AB2143"/>
    <w:rsid w:val="00AC2552"/>
    <w:rsid w:val="00AC3944"/>
    <w:rsid w:val="00AC666B"/>
    <w:rsid w:val="00AD1D09"/>
    <w:rsid w:val="00AD2EC5"/>
    <w:rsid w:val="00AD762F"/>
    <w:rsid w:val="00AD7DE4"/>
    <w:rsid w:val="00AE25EE"/>
    <w:rsid w:val="00AE2747"/>
    <w:rsid w:val="00AE2AB5"/>
    <w:rsid w:val="00AE2B24"/>
    <w:rsid w:val="00AE7D8D"/>
    <w:rsid w:val="00AF1E15"/>
    <w:rsid w:val="00AF46D2"/>
    <w:rsid w:val="00AF6468"/>
    <w:rsid w:val="00B01A68"/>
    <w:rsid w:val="00B069A8"/>
    <w:rsid w:val="00B076B1"/>
    <w:rsid w:val="00B11C47"/>
    <w:rsid w:val="00B170AA"/>
    <w:rsid w:val="00B22F3B"/>
    <w:rsid w:val="00B371ED"/>
    <w:rsid w:val="00B446BF"/>
    <w:rsid w:val="00B461E7"/>
    <w:rsid w:val="00B471C5"/>
    <w:rsid w:val="00B53380"/>
    <w:rsid w:val="00B5761A"/>
    <w:rsid w:val="00B57C73"/>
    <w:rsid w:val="00B6594D"/>
    <w:rsid w:val="00B80081"/>
    <w:rsid w:val="00B87975"/>
    <w:rsid w:val="00B91D4D"/>
    <w:rsid w:val="00BA6C60"/>
    <w:rsid w:val="00BB2ACD"/>
    <w:rsid w:val="00BB73D9"/>
    <w:rsid w:val="00BC173A"/>
    <w:rsid w:val="00BC1D18"/>
    <w:rsid w:val="00BC4D3A"/>
    <w:rsid w:val="00BD11A7"/>
    <w:rsid w:val="00BD28C3"/>
    <w:rsid w:val="00BD54E1"/>
    <w:rsid w:val="00BE1154"/>
    <w:rsid w:val="00BE29CE"/>
    <w:rsid w:val="00BF0C7C"/>
    <w:rsid w:val="00BF3359"/>
    <w:rsid w:val="00BF48E1"/>
    <w:rsid w:val="00BF6479"/>
    <w:rsid w:val="00C03CFB"/>
    <w:rsid w:val="00C067F4"/>
    <w:rsid w:val="00C21248"/>
    <w:rsid w:val="00C24881"/>
    <w:rsid w:val="00C24B46"/>
    <w:rsid w:val="00C24F0C"/>
    <w:rsid w:val="00C30B5C"/>
    <w:rsid w:val="00C322B0"/>
    <w:rsid w:val="00C33200"/>
    <w:rsid w:val="00C34613"/>
    <w:rsid w:val="00C46396"/>
    <w:rsid w:val="00C50530"/>
    <w:rsid w:val="00C5100C"/>
    <w:rsid w:val="00C515C0"/>
    <w:rsid w:val="00C55FAE"/>
    <w:rsid w:val="00C613F6"/>
    <w:rsid w:val="00C6605B"/>
    <w:rsid w:val="00C670BD"/>
    <w:rsid w:val="00C7165D"/>
    <w:rsid w:val="00C75FDB"/>
    <w:rsid w:val="00C7736A"/>
    <w:rsid w:val="00C81A0B"/>
    <w:rsid w:val="00C820A2"/>
    <w:rsid w:val="00C82C14"/>
    <w:rsid w:val="00C8496E"/>
    <w:rsid w:val="00C852B2"/>
    <w:rsid w:val="00C852CA"/>
    <w:rsid w:val="00C85408"/>
    <w:rsid w:val="00C87386"/>
    <w:rsid w:val="00C918A3"/>
    <w:rsid w:val="00C96B96"/>
    <w:rsid w:val="00C9700B"/>
    <w:rsid w:val="00C970A2"/>
    <w:rsid w:val="00CA2829"/>
    <w:rsid w:val="00CA48F1"/>
    <w:rsid w:val="00CA4E92"/>
    <w:rsid w:val="00CA5471"/>
    <w:rsid w:val="00CB37EE"/>
    <w:rsid w:val="00CB6C63"/>
    <w:rsid w:val="00CC356C"/>
    <w:rsid w:val="00CC6053"/>
    <w:rsid w:val="00CC7004"/>
    <w:rsid w:val="00CC7438"/>
    <w:rsid w:val="00CE040C"/>
    <w:rsid w:val="00CE3697"/>
    <w:rsid w:val="00CE4DC7"/>
    <w:rsid w:val="00CE5F6F"/>
    <w:rsid w:val="00CE64B6"/>
    <w:rsid w:val="00CE7F4D"/>
    <w:rsid w:val="00CF61A9"/>
    <w:rsid w:val="00CF6D87"/>
    <w:rsid w:val="00CF70DE"/>
    <w:rsid w:val="00D06CB5"/>
    <w:rsid w:val="00D07244"/>
    <w:rsid w:val="00D07E71"/>
    <w:rsid w:val="00D16650"/>
    <w:rsid w:val="00D1694C"/>
    <w:rsid w:val="00D210F2"/>
    <w:rsid w:val="00D22944"/>
    <w:rsid w:val="00D25CE3"/>
    <w:rsid w:val="00D2657A"/>
    <w:rsid w:val="00D2670C"/>
    <w:rsid w:val="00D30832"/>
    <w:rsid w:val="00D32FDE"/>
    <w:rsid w:val="00D33EAC"/>
    <w:rsid w:val="00D360D7"/>
    <w:rsid w:val="00D368EC"/>
    <w:rsid w:val="00D40428"/>
    <w:rsid w:val="00D40AF0"/>
    <w:rsid w:val="00D412F1"/>
    <w:rsid w:val="00D415D3"/>
    <w:rsid w:val="00D42CEF"/>
    <w:rsid w:val="00D43F62"/>
    <w:rsid w:val="00D47871"/>
    <w:rsid w:val="00D5217F"/>
    <w:rsid w:val="00D54F3F"/>
    <w:rsid w:val="00D56E04"/>
    <w:rsid w:val="00D57DDC"/>
    <w:rsid w:val="00D61879"/>
    <w:rsid w:val="00D62681"/>
    <w:rsid w:val="00D66020"/>
    <w:rsid w:val="00D72279"/>
    <w:rsid w:val="00D75B06"/>
    <w:rsid w:val="00D81D14"/>
    <w:rsid w:val="00D822A6"/>
    <w:rsid w:val="00D82B6B"/>
    <w:rsid w:val="00D9039A"/>
    <w:rsid w:val="00D907E0"/>
    <w:rsid w:val="00D909AB"/>
    <w:rsid w:val="00D91BAB"/>
    <w:rsid w:val="00D920A9"/>
    <w:rsid w:val="00D9424A"/>
    <w:rsid w:val="00D955C9"/>
    <w:rsid w:val="00D95E11"/>
    <w:rsid w:val="00D974E8"/>
    <w:rsid w:val="00DA129E"/>
    <w:rsid w:val="00DA1325"/>
    <w:rsid w:val="00DB3EBC"/>
    <w:rsid w:val="00DB534A"/>
    <w:rsid w:val="00DC00DB"/>
    <w:rsid w:val="00DC236E"/>
    <w:rsid w:val="00DC40D5"/>
    <w:rsid w:val="00DD2DDC"/>
    <w:rsid w:val="00DD7B2A"/>
    <w:rsid w:val="00DE1800"/>
    <w:rsid w:val="00DE3DB0"/>
    <w:rsid w:val="00DE5AFC"/>
    <w:rsid w:val="00DF2694"/>
    <w:rsid w:val="00DF65FB"/>
    <w:rsid w:val="00E00C30"/>
    <w:rsid w:val="00E04D5F"/>
    <w:rsid w:val="00E07435"/>
    <w:rsid w:val="00E076BA"/>
    <w:rsid w:val="00E12ED5"/>
    <w:rsid w:val="00E15AE3"/>
    <w:rsid w:val="00E1700B"/>
    <w:rsid w:val="00E20DF7"/>
    <w:rsid w:val="00E2794C"/>
    <w:rsid w:val="00E30C3D"/>
    <w:rsid w:val="00E36AD9"/>
    <w:rsid w:val="00E435A0"/>
    <w:rsid w:val="00E43F08"/>
    <w:rsid w:val="00E447B8"/>
    <w:rsid w:val="00E5026F"/>
    <w:rsid w:val="00E52445"/>
    <w:rsid w:val="00E5319D"/>
    <w:rsid w:val="00E55146"/>
    <w:rsid w:val="00E577A2"/>
    <w:rsid w:val="00E67556"/>
    <w:rsid w:val="00E6AAC0"/>
    <w:rsid w:val="00E737AF"/>
    <w:rsid w:val="00E81092"/>
    <w:rsid w:val="00E869CD"/>
    <w:rsid w:val="00E8793B"/>
    <w:rsid w:val="00E90317"/>
    <w:rsid w:val="00E95664"/>
    <w:rsid w:val="00EA3F4D"/>
    <w:rsid w:val="00EA781F"/>
    <w:rsid w:val="00EB3B5C"/>
    <w:rsid w:val="00EC2509"/>
    <w:rsid w:val="00EC272B"/>
    <w:rsid w:val="00EC7951"/>
    <w:rsid w:val="00ED2E8A"/>
    <w:rsid w:val="00ED4021"/>
    <w:rsid w:val="00ED59CA"/>
    <w:rsid w:val="00ED6484"/>
    <w:rsid w:val="00ED6F6B"/>
    <w:rsid w:val="00EE05DA"/>
    <w:rsid w:val="00EE0647"/>
    <w:rsid w:val="00EE07CB"/>
    <w:rsid w:val="00EE2639"/>
    <w:rsid w:val="00EF041C"/>
    <w:rsid w:val="00EF26CE"/>
    <w:rsid w:val="00F016D3"/>
    <w:rsid w:val="00F0261E"/>
    <w:rsid w:val="00F05018"/>
    <w:rsid w:val="00F05E4F"/>
    <w:rsid w:val="00F07F16"/>
    <w:rsid w:val="00F11A3F"/>
    <w:rsid w:val="00F13BE5"/>
    <w:rsid w:val="00F17CD2"/>
    <w:rsid w:val="00F25F1F"/>
    <w:rsid w:val="00F266DA"/>
    <w:rsid w:val="00F30DD0"/>
    <w:rsid w:val="00F31198"/>
    <w:rsid w:val="00F323DD"/>
    <w:rsid w:val="00F324B7"/>
    <w:rsid w:val="00F351C6"/>
    <w:rsid w:val="00F419D5"/>
    <w:rsid w:val="00F42755"/>
    <w:rsid w:val="00F453B0"/>
    <w:rsid w:val="00F51161"/>
    <w:rsid w:val="00F52C26"/>
    <w:rsid w:val="00F635AD"/>
    <w:rsid w:val="00F64B36"/>
    <w:rsid w:val="00F657C4"/>
    <w:rsid w:val="00F74018"/>
    <w:rsid w:val="00F74B3D"/>
    <w:rsid w:val="00F835FC"/>
    <w:rsid w:val="00FA27A8"/>
    <w:rsid w:val="00FA4F36"/>
    <w:rsid w:val="00FB2CCA"/>
    <w:rsid w:val="00FC002B"/>
    <w:rsid w:val="00FC0267"/>
    <w:rsid w:val="00FC635D"/>
    <w:rsid w:val="00FC74D6"/>
    <w:rsid w:val="00FC7627"/>
    <w:rsid w:val="00FC7A56"/>
    <w:rsid w:val="00FD0CBE"/>
    <w:rsid w:val="00FD0E6C"/>
    <w:rsid w:val="00FD1B99"/>
    <w:rsid w:val="00FD6B6A"/>
    <w:rsid w:val="00FD7D4B"/>
    <w:rsid w:val="00FE3182"/>
    <w:rsid w:val="00FE31D8"/>
    <w:rsid w:val="00FE47E1"/>
    <w:rsid w:val="00FF077C"/>
    <w:rsid w:val="00FF2888"/>
    <w:rsid w:val="00FF5443"/>
    <w:rsid w:val="00FF7471"/>
    <w:rsid w:val="014CDC38"/>
    <w:rsid w:val="02906796"/>
    <w:rsid w:val="036DD2A0"/>
    <w:rsid w:val="06E412DA"/>
    <w:rsid w:val="0A27FF70"/>
    <w:rsid w:val="0BBD581C"/>
    <w:rsid w:val="0BC3CFD1"/>
    <w:rsid w:val="0F2A7E97"/>
    <w:rsid w:val="16FA90A8"/>
    <w:rsid w:val="1B564218"/>
    <w:rsid w:val="1DFD53FA"/>
    <w:rsid w:val="201CB945"/>
    <w:rsid w:val="21B889A6"/>
    <w:rsid w:val="23B39B75"/>
    <w:rsid w:val="250D1248"/>
    <w:rsid w:val="265B7077"/>
    <w:rsid w:val="28F4ADFE"/>
    <w:rsid w:val="2D74353A"/>
    <w:rsid w:val="301E237B"/>
    <w:rsid w:val="313C6977"/>
    <w:rsid w:val="3337506A"/>
    <w:rsid w:val="34DDB166"/>
    <w:rsid w:val="367981C7"/>
    <w:rsid w:val="3AB229B5"/>
    <w:rsid w:val="3E091E22"/>
    <w:rsid w:val="42CDC1D0"/>
    <w:rsid w:val="431B709A"/>
    <w:rsid w:val="479BE32B"/>
    <w:rsid w:val="4854744F"/>
    <w:rsid w:val="49B681EE"/>
    <w:rsid w:val="4A3F5827"/>
    <w:rsid w:val="4E929213"/>
    <w:rsid w:val="554BFA91"/>
    <w:rsid w:val="5BA4497D"/>
    <w:rsid w:val="61E2DA2E"/>
    <w:rsid w:val="632F0DE2"/>
    <w:rsid w:val="637B4F37"/>
    <w:rsid w:val="68497092"/>
    <w:rsid w:val="6C58BE07"/>
    <w:rsid w:val="6E1B18CF"/>
    <w:rsid w:val="759C383C"/>
    <w:rsid w:val="75F42EAE"/>
    <w:rsid w:val="787B7945"/>
    <w:rsid w:val="79BFBB88"/>
    <w:rsid w:val="7B0AC9C6"/>
    <w:rsid w:val="7DFEE5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A55FD"/>
  <w15:chartTrackingRefBased/>
  <w15:docId w15:val="{A0DB9E4D-D40C-40EC-9D25-D2D48E5D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7F3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rsid w:val="000826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SMSAufzhlung1">
    <w:name w:val="ISMS Aufzählung 1"/>
    <w:basedOn w:val="Standard"/>
    <w:link w:val="ISMSAufzhlung1Zchn"/>
    <w:qFormat/>
    <w:rsid w:val="005E6186"/>
    <w:pPr>
      <w:numPr>
        <w:numId w:val="3"/>
      </w:numPr>
      <w:spacing w:before="240" w:after="120" w:line="240" w:lineRule="auto"/>
      <w:ind w:left="714" w:hanging="357"/>
    </w:pPr>
    <w:rPr>
      <w:rFonts w:cs="Arial"/>
      <w:szCs w:val="20"/>
    </w:rPr>
  </w:style>
  <w:style w:type="character" w:customStyle="1" w:styleId="ISMSAufzhlung1Zchn">
    <w:name w:val="ISMS Aufzählung 1 Zchn"/>
    <w:basedOn w:val="Absatz-Standardschriftart"/>
    <w:link w:val="ISMSAufzhlung1"/>
    <w:rsid w:val="005E6186"/>
    <w:rPr>
      <w:rFonts w:ascii="Arial" w:hAnsi="Arial" w:cs="Arial"/>
      <w:szCs w:val="20"/>
    </w:rPr>
  </w:style>
  <w:style w:type="paragraph" w:customStyle="1" w:styleId="ISMSAufzhlung2">
    <w:name w:val="ISMS Aufzählung 2"/>
    <w:basedOn w:val="ISMSAufzhlung1"/>
    <w:link w:val="ISMSAufzhlung2Zchn"/>
    <w:qFormat/>
    <w:rsid w:val="0099212A"/>
    <w:pPr>
      <w:numPr>
        <w:ilvl w:val="1"/>
      </w:numPr>
    </w:pPr>
  </w:style>
  <w:style w:type="character" w:customStyle="1" w:styleId="ISMSAufzhlung2Zchn">
    <w:name w:val="ISMS Aufzählung 2 Zchn"/>
    <w:basedOn w:val="ISMSAufzhlung1Zchn"/>
    <w:link w:val="ISMSAufzhlung2"/>
    <w:rsid w:val="0099212A"/>
    <w:rPr>
      <w:rFonts w:ascii="Arial" w:hAnsi="Arial" w:cs="Arial"/>
      <w:szCs w:val="20"/>
    </w:rPr>
  </w:style>
  <w:style w:type="paragraph" w:customStyle="1" w:styleId="ISMSAufzhlung3">
    <w:name w:val="ISMS Aufzählung 3"/>
    <w:basedOn w:val="Standard"/>
    <w:link w:val="ISMSAufzhlung3Zchn"/>
    <w:rsid w:val="0099212A"/>
    <w:pPr>
      <w:spacing w:after="120" w:line="240" w:lineRule="auto"/>
    </w:pPr>
    <w:rPr>
      <w:rFonts w:cs="Arial"/>
      <w:szCs w:val="20"/>
    </w:rPr>
  </w:style>
  <w:style w:type="character" w:customStyle="1" w:styleId="ISMSAufzhlung3Zchn">
    <w:name w:val="ISMS Aufzählung 3 Zchn"/>
    <w:basedOn w:val="Absatz-Standardschriftart"/>
    <w:link w:val="ISMSAufzhlung3"/>
    <w:rsid w:val="0099212A"/>
    <w:rPr>
      <w:rFonts w:ascii="Arial" w:hAnsi="Arial" w:cs="Arial"/>
      <w:szCs w:val="20"/>
    </w:rPr>
  </w:style>
  <w:style w:type="paragraph" w:customStyle="1" w:styleId="ISMSEbene1">
    <w:name w:val="ISMS Ebene 1"/>
    <w:basedOn w:val="Standard"/>
    <w:next w:val="ISMSStandartText"/>
    <w:link w:val="ISMSEbene1Zchn"/>
    <w:autoRedefine/>
    <w:qFormat/>
    <w:rsid w:val="00AB0C14"/>
    <w:pPr>
      <w:keepNext/>
      <w:keepLines/>
      <w:numPr>
        <w:numId w:val="7"/>
      </w:numPr>
      <w:spacing w:before="240" w:after="120" w:line="240" w:lineRule="auto"/>
      <w:ind w:left="357" w:hanging="357"/>
      <w:outlineLvl w:val="0"/>
    </w:pPr>
    <w:rPr>
      <w:rFonts w:eastAsiaTheme="majorEastAsia" w:cstheme="majorBidi"/>
      <w:b/>
      <w:bCs/>
      <w:sz w:val="28"/>
      <w:szCs w:val="28"/>
    </w:rPr>
  </w:style>
  <w:style w:type="character" w:customStyle="1" w:styleId="ISMSEbene1Zchn">
    <w:name w:val="ISMS Ebene 1 Zchn"/>
    <w:basedOn w:val="Absatz-Standardschriftart"/>
    <w:link w:val="ISMSEbene1"/>
    <w:rsid w:val="00AB0C14"/>
    <w:rPr>
      <w:rFonts w:eastAsiaTheme="majorEastAsia" w:cstheme="majorBidi"/>
      <w:b/>
      <w:bCs/>
      <w:sz w:val="28"/>
      <w:szCs w:val="28"/>
    </w:rPr>
  </w:style>
  <w:style w:type="paragraph" w:customStyle="1" w:styleId="ISMSEbene2">
    <w:name w:val="ISMS Ebene 2"/>
    <w:basedOn w:val="Standard"/>
    <w:next w:val="ISMSStandartText"/>
    <w:link w:val="ISMSEbene2Zchn"/>
    <w:qFormat/>
    <w:rsid w:val="00933A96"/>
    <w:pPr>
      <w:keepNext/>
      <w:numPr>
        <w:ilvl w:val="1"/>
        <w:numId w:val="7"/>
      </w:numPr>
      <w:spacing w:before="240" w:after="120" w:line="240" w:lineRule="auto"/>
      <w:outlineLvl w:val="1"/>
    </w:pPr>
    <w:rPr>
      <w:rFonts w:eastAsiaTheme="majorEastAsia" w:cstheme="majorBidi"/>
      <w:b/>
      <w:bCs/>
      <w:sz w:val="24"/>
      <w:szCs w:val="26"/>
    </w:rPr>
  </w:style>
  <w:style w:type="character" w:customStyle="1" w:styleId="ISMSEbene2Zchn">
    <w:name w:val="ISMS Ebene 2 Zchn"/>
    <w:basedOn w:val="Absatz-Standardschriftart"/>
    <w:link w:val="ISMSEbene2"/>
    <w:rsid w:val="00933A96"/>
    <w:rPr>
      <w:rFonts w:eastAsiaTheme="majorEastAsia" w:cstheme="majorBidi"/>
      <w:b/>
      <w:bCs/>
      <w:sz w:val="24"/>
      <w:szCs w:val="26"/>
    </w:rPr>
  </w:style>
  <w:style w:type="paragraph" w:customStyle="1" w:styleId="ISMSEbene3">
    <w:name w:val="ISMS Ebene 3"/>
    <w:basedOn w:val="Standard"/>
    <w:next w:val="Standard"/>
    <w:link w:val="ISMSEbene3Zchn"/>
    <w:qFormat/>
    <w:rsid w:val="00933A96"/>
    <w:pPr>
      <w:keepNext/>
      <w:numPr>
        <w:ilvl w:val="2"/>
        <w:numId w:val="7"/>
      </w:numPr>
      <w:spacing w:before="240" w:after="120" w:line="240" w:lineRule="auto"/>
      <w:outlineLvl w:val="2"/>
    </w:pPr>
    <w:rPr>
      <w:rFonts w:eastAsiaTheme="majorEastAsia" w:cstheme="majorBidi"/>
      <w:b/>
      <w:bCs/>
      <w:szCs w:val="20"/>
    </w:rPr>
  </w:style>
  <w:style w:type="character" w:customStyle="1" w:styleId="ISMSEbene3Zchn">
    <w:name w:val="ISMS Ebene 3 Zchn"/>
    <w:basedOn w:val="Absatz-Standardschriftart"/>
    <w:link w:val="ISMSEbene3"/>
    <w:rsid w:val="00933A96"/>
    <w:rPr>
      <w:rFonts w:eastAsiaTheme="majorEastAsia" w:cstheme="majorBidi"/>
      <w:b/>
      <w:bCs/>
      <w:szCs w:val="20"/>
    </w:rPr>
  </w:style>
  <w:style w:type="paragraph" w:customStyle="1" w:styleId="ISMSEbene4">
    <w:name w:val="ISMS Ebene 4"/>
    <w:basedOn w:val="Standard"/>
    <w:next w:val="ISMSStandartText"/>
    <w:link w:val="ISMSEbene4Zchn"/>
    <w:qFormat/>
    <w:rsid w:val="00933A96"/>
    <w:pPr>
      <w:keepNext/>
      <w:numPr>
        <w:ilvl w:val="3"/>
        <w:numId w:val="7"/>
      </w:numPr>
      <w:spacing w:before="240" w:after="120" w:line="240" w:lineRule="auto"/>
      <w:ind w:left="862" w:hanging="862"/>
      <w:jc w:val="both"/>
      <w:outlineLvl w:val="3"/>
    </w:pPr>
    <w:rPr>
      <w:rFonts w:eastAsiaTheme="majorEastAsia" w:cstheme="majorBidi"/>
      <w:b/>
      <w:szCs w:val="20"/>
    </w:rPr>
  </w:style>
  <w:style w:type="character" w:customStyle="1" w:styleId="ISMSEbene4Zchn">
    <w:name w:val="ISMS Ebene 4 Zchn"/>
    <w:basedOn w:val="Absatz-Standardschriftart"/>
    <w:link w:val="ISMSEbene4"/>
    <w:rsid w:val="00933A96"/>
    <w:rPr>
      <w:rFonts w:eastAsiaTheme="majorEastAsia" w:cstheme="majorBidi"/>
      <w:b/>
      <w:szCs w:val="20"/>
    </w:rPr>
  </w:style>
  <w:style w:type="paragraph" w:customStyle="1" w:styleId="ISMSKopf-undFusszeile">
    <w:name w:val="ISMS Kopf- und Fusszeile"/>
    <w:basedOn w:val="Standard"/>
    <w:link w:val="ISMSKopf-undFusszeileZchn"/>
    <w:qFormat/>
    <w:rsid w:val="0099212A"/>
    <w:pPr>
      <w:tabs>
        <w:tab w:val="left" w:pos="3969"/>
        <w:tab w:val="right" w:pos="9356"/>
      </w:tabs>
      <w:spacing w:before="240" w:after="0" w:line="240" w:lineRule="auto"/>
    </w:pPr>
    <w:rPr>
      <w:rFonts w:eastAsia="Times New Roman" w:cs="Times New Roman"/>
      <w:sz w:val="20"/>
      <w:szCs w:val="20"/>
      <w:lang w:eastAsia="de-DE"/>
    </w:rPr>
  </w:style>
  <w:style w:type="character" w:customStyle="1" w:styleId="ISMSKopf-undFusszeileZchn">
    <w:name w:val="ISMS Kopf- und Fusszeile Zchn"/>
    <w:basedOn w:val="Absatz-Standardschriftart"/>
    <w:link w:val="ISMSKopf-undFusszeile"/>
    <w:rsid w:val="0099212A"/>
    <w:rPr>
      <w:rFonts w:ascii="Arial" w:eastAsia="Times New Roman" w:hAnsi="Arial" w:cs="Times New Roman"/>
      <w:sz w:val="20"/>
      <w:szCs w:val="20"/>
      <w:lang w:eastAsia="de-DE"/>
    </w:rPr>
  </w:style>
  <w:style w:type="paragraph" w:customStyle="1" w:styleId="ISMSStandartText">
    <w:name w:val="ISMS Standart Text"/>
    <w:basedOn w:val="Standard"/>
    <w:link w:val="ISMSStandartTextZchn"/>
    <w:qFormat/>
    <w:rsid w:val="0099212A"/>
    <w:pPr>
      <w:spacing w:after="0" w:line="240" w:lineRule="auto"/>
    </w:pPr>
  </w:style>
  <w:style w:type="character" w:customStyle="1" w:styleId="ISMSStandartTextZchn">
    <w:name w:val="ISMS Standart Text Zchn"/>
    <w:basedOn w:val="Absatz-Standardschriftart"/>
    <w:link w:val="ISMSStandartText"/>
    <w:rsid w:val="0099212A"/>
    <w:rPr>
      <w:rFonts w:ascii="Arial" w:hAnsi="Arial"/>
    </w:rPr>
  </w:style>
  <w:style w:type="paragraph" w:customStyle="1" w:styleId="ISMSTitel">
    <w:name w:val="ISMS Titel"/>
    <w:basedOn w:val="Standard"/>
    <w:next w:val="ISMSStandartText"/>
    <w:link w:val="ISMSTitelZchn"/>
    <w:qFormat/>
    <w:rsid w:val="0099212A"/>
    <w:pPr>
      <w:spacing w:after="360"/>
    </w:pPr>
    <w:rPr>
      <w:b/>
      <w:sz w:val="36"/>
    </w:rPr>
  </w:style>
  <w:style w:type="character" w:customStyle="1" w:styleId="ISMSTitelZchn">
    <w:name w:val="ISMS Titel Zchn"/>
    <w:basedOn w:val="Absatz-Standardschriftart"/>
    <w:link w:val="ISMSTitel"/>
    <w:rsid w:val="0099212A"/>
    <w:rPr>
      <w:rFonts w:ascii="Arial" w:hAnsi="Arial"/>
      <w:b/>
      <w:sz w:val="36"/>
    </w:rPr>
  </w:style>
  <w:style w:type="paragraph" w:styleId="Kopfzeile">
    <w:name w:val="header"/>
    <w:basedOn w:val="Standard"/>
    <w:link w:val="KopfzeileZchn"/>
    <w:uiPriority w:val="99"/>
    <w:unhideWhenUsed/>
    <w:rsid w:val="005358D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358D7"/>
  </w:style>
  <w:style w:type="paragraph" w:styleId="Fuzeile">
    <w:name w:val="footer"/>
    <w:basedOn w:val="Standard"/>
    <w:link w:val="FuzeileZchn"/>
    <w:uiPriority w:val="99"/>
    <w:unhideWhenUsed/>
    <w:rsid w:val="005358D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358D7"/>
  </w:style>
  <w:style w:type="character" w:customStyle="1" w:styleId="berschrift1Zchn">
    <w:name w:val="Überschrift 1 Zchn"/>
    <w:basedOn w:val="Absatz-Standardschriftart"/>
    <w:link w:val="berschrift1"/>
    <w:uiPriority w:val="9"/>
    <w:rsid w:val="007F309A"/>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rsid w:val="007F309A"/>
    <w:pPr>
      <w:outlineLvl w:val="9"/>
    </w:pPr>
    <w:rPr>
      <w:lang w:eastAsia="de-DE"/>
    </w:rPr>
  </w:style>
  <w:style w:type="paragraph" w:styleId="Verzeichnis2">
    <w:name w:val="toc 2"/>
    <w:basedOn w:val="Standard"/>
    <w:next w:val="Standard"/>
    <w:link w:val="Verzeichnis2Zchn"/>
    <w:autoRedefine/>
    <w:uiPriority w:val="39"/>
    <w:unhideWhenUsed/>
    <w:rsid w:val="00320D4C"/>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320D4C"/>
    <w:pPr>
      <w:spacing w:after="100"/>
    </w:pPr>
    <w:rPr>
      <w:rFonts w:eastAsiaTheme="minorEastAsia" w:cs="Times New Roman"/>
      <w:lang w:eastAsia="de-DE"/>
    </w:rPr>
  </w:style>
  <w:style w:type="paragraph" w:styleId="Verzeichnis3">
    <w:name w:val="toc 3"/>
    <w:basedOn w:val="Standard"/>
    <w:next w:val="Standard"/>
    <w:autoRedefine/>
    <w:uiPriority w:val="39"/>
    <w:unhideWhenUsed/>
    <w:rsid w:val="00320D4C"/>
    <w:pPr>
      <w:spacing w:after="100"/>
      <w:ind w:left="440"/>
    </w:pPr>
    <w:rPr>
      <w:rFonts w:eastAsiaTheme="minorEastAsia" w:cs="Times New Roman"/>
      <w:lang w:eastAsia="de-DE"/>
    </w:rPr>
  </w:style>
  <w:style w:type="table" w:styleId="TabelleRaster8">
    <w:name w:val="Table Grid 8"/>
    <w:basedOn w:val="NormaleTabelle"/>
    <w:uiPriority w:val="99"/>
    <w:semiHidden/>
    <w:unhideWhenUsed/>
    <w:rsid w:val="00DC0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Absatz-Standardschriftart"/>
    <w:uiPriority w:val="99"/>
    <w:unhideWhenUsed/>
    <w:rsid w:val="007D5BBA"/>
    <w:rPr>
      <w:color w:val="0563C1" w:themeColor="hyperlink"/>
      <w:u w:val="single"/>
    </w:rPr>
  </w:style>
  <w:style w:type="table" w:styleId="Tabellenraster">
    <w:name w:val="Table Grid"/>
    <w:basedOn w:val="NormaleTabelle"/>
    <w:uiPriority w:val="39"/>
    <w:rsid w:val="00C5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50530"/>
    <w:pPr>
      <w:spacing w:after="200" w:line="240" w:lineRule="auto"/>
    </w:pPr>
    <w:rPr>
      <w:i/>
      <w:iCs/>
      <w:color w:val="44546A" w:themeColor="text2"/>
      <w:sz w:val="18"/>
      <w:szCs w:val="18"/>
    </w:rPr>
  </w:style>
  <w:style w:type="paragraph" w:styleId="Abbildungsverzeichnis">
    <w:name w:val="table of figures"/>
    <w:basedOn w:val="Standard"/>
    <w:next w:val="Standard"/>
    <w:uiPriority w:val="99"/>
    <w:unhideWhenUsed/>
    <w:rsid w:val="00FD7D4B"/>
    <w:pPr>
      <w:spacing w:after="0"/>
    </w:pPr>
  </w:style>
  <w:style w:type="paragraph" w:customStyle="1" w:styleId="TOC">
    <w:name w:val="TOC"/>
    <w:basedOn w:val="Verzeichnis2"/>
    <w:link w:val="TOCZchn"/>
    <w:rsid w:val="00E737AF"/>
    <w:pPr>
      <w:tabs>
        <w:tab w:val="left" w:pos="880"/>
        <w:tab w:val="right" w:leader="dot" w:pos="9016"/>
      </w:tabs>
    </w:pPr>
    <w:rPr>
      <w:noProof/>
    </w:rPr>
  </w:style>
  <w:style w:type="character" w:customStyle="1" w:styleId="Verzeichnis2Zchn">
    <w:name w:val="Verzeichnis 2 Zchn"/>
    <w:basedOn w:val="Absatz-Standardschriftart"/>
    <w:link w:val="Verzeichnis2"/>
    <w:uiPriority w:val="39"/>
    <w:rsid w:val="00320D4C"/>
    <w:rPr>
      <w:rFonts w:ascii="Arial" w:eastAsiaTheme="minorEastAsia" w:hAnsi="Arial" w:cs="Times New Roman"/>
      <w:lang w:eastAsia="de-DE"/>
    </w:rPr>
  </w:style>
  <w:style w:type="character" w:customStyle="1" w:styleId="TOCZchn">
    <w:name w:val="TOC Zchn"/>
    <w:basedOn w:val="Verzeichnis2Zchn"/>
    <w:link w:val="TOC"/>
    <w:rsid w:val="00E737AF"/>
    <w:rPr>
      <w:rFonts w:ascii="Arial" w:eastAsiaTheme="minorEastAsia" w:hAnsi="Arial" w:cs="Times New Roman"/>
      <w:noProof/>
      <w:lang w:eastAsia="de-DE"/>
    </w:rPr>
  </w:style>
  <w:style w:type="paragraph" w:styleId="Verzeichnis4">
    <w:name w:val="toc 4"/>
    <w:basedOn w:val="Standard"/>
    <w:next w:val="Standard"/>
    <w:autoRedefine/>
    <w:uiPriority w:val="39"/>
    <w:semiHidden/>
    <w:unhideWhenUsed/>
    <w:rsid w:val="00320D4C"/>
    <w:pPr>
      <w:spacing w:after="100"/>
      <w:ind w:left="660"/>
    </w:pPr>
  </w:style>
  <w:style w:type="paragraph" w:customStyle="1" w:styleId="ISMSUntertitel">
    <w:name w:val="ISMS Untertitel"/>
    <w:basedOn w:val="ISMSTitel"/>
    <w:next w:val="ISMSStandartText"/>
    <w:link w:val="ISMSUntertitelZchn"/>
    <w:qFormat/>
    <w:rsid w:val="000B084A"/>
    <w:pPr>
      <w:spacing w:after="240"/>
    </w:pPr>
    <w:rPr>
      <w:sz w:val="28"/>
      <w:szCs w:val="18"/>
    </w:rPr>
  </w:style>
  <w:style w:type="character" w:customStyle="1" w:styleId="ISMSUntertitelZchn">
    <w:name w:val="ISMS Untertitel Zchn"/>
    <w:basedOn w:val="ISMSTitelZchn"/>
    <w:link w:val="ISMSUntertitel"/>
    <w:rsid w:val="000B084A"/>
    <w:rPr>
      <w:rFonts w:ascii="Arial" w:hAnsi="Arial"/>
      <w:b/>
      <w:sz w:val="28"/>
      <w:szCs w:val="18"/>
    </w:rPr>
  </w:style>
  <w:style w:type="character" w:styleId="Platzhaltertext">
    <w:name w:val="Placeholder Text"/>
    <w:basedOn w:val="Absatz-Standardschriftart"/>
    <w:uiPriority w:val="99"/>
    <w:semiHidden/>
    <w:rsid w:val="00BC4D3A"/>
    <w:rPr>
      <w:color w:val="808080"/>
    </w:rPr>
  </w:style>
  <w:style w:type="table" w:customStyle="1" w:styleId="ISMS">
    <w:name w:val="ISMS"/>
    <w:basedOn w:val="Tabellenraster"/>
    <w:uiPriority w:val="99"/>
    <w:rsid w:val="00A65C52"/>
    <w:rPr>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center"/>
      </w:pPr>
      <w:rPr>
        <w:rFonts w:ascii="Arial" w:hAnsi="Arial"/>
        <w:color w:val="FFFFFF" w:themeColor="background1"/>
        <w:sz w:val="20"/>
      </w:rPr>
      <w:tblPr/>
      <w:tcPr>
        <w:shd w:val="clear" w:color="auto" w:fill="C30F08"/>
        <w:vAlign w:val="center"/>
      </w:tcPr>
    </w:tblStylePr>
  </w:style>
  <w:style w:type="paragraph" w:styleId="Kommentartext">
    <w:name w:val="annotation text"/>
    <w:basedOn w:val="Standard"/>
    <w:link w:val="KommentartextZchn"/>
    <w:unhideWhenUsed/>
    <w:rsid w:val="00D56E04"/>
    <w:pPr>
      <w:spacing w:after="0" w:line="240" w:lineRule="auto"/>
      <w:jc w:val="both"/>
    </w:pPr>
    <w:rPr>
      <w:sz w:val="20"/>
      <w:szCs w:val="20"/>
    </w:rPr>
  </w:style>
  <w:style w:type="character" w:customStyle="1" w:styleId="KommentartextZchn">
    <w:name w:val="Kommentartext Zchn"/>
    <w:basedOn w:val="Absatz-Standardschriftart"/>
    <w:link w:val="Kommentartext"/>
    <w:rsid w:val="00D56E04"/>
    <w:rPr>
      <w:sz w:val="20"/>
      <w:szCs w:val="20"/>
    </w:rPr>
  </w:style>
  <w:style w:type="paragraph" w:customStyle="1" w:styleId="Aufzhlung4">
    <w:name w:val="Aufzählung 4"/>
    <w:basedOn w:val="Standard"/>
    <w:uiPriority w:val="6"/>
    <w:rsid w:val="00D56E04"/>
    <w:pPr>
      <w:spacing w:after="120" w:line="240" w:lineRule="auto"/>
      <w:ind w:left="2880" w:hanging="360"/>
      <w:jc w:val="both"/>
    </w:pPr>
    <w:rPr>
      <w:rFonts w:cs="Arial"/>
      <w:sz w:val="20"/>
      <w:szCs w:val="20"/>
    </w:rPr>
  </w:style>
  <w:style w:type="paragraph" w:customStyle="1" w:styleId="Aufzhlung5">
    <w:name w:val="Aufzählung 5"/>
    <w:basedOn w:val="Standard"/>
    <w:uiPriority w:val="6"/>
    <w:rsid w:val="00D56E04"/>
    <w:pPr>
      <w:spacing w:after="120" w:line="240" w:lineRule="auto"/>
      <w:ind w:left="3600" w:hanging="360"/>
      <w:jc w:val="both"/>
    </w:pPr>
    <w:rPr>
      <w:rFonts w:cs="Arial"/>
      <w:sz w:val="20"/>
      <w:szCs w:val="20"/>
    </w:rPr>
  </w:style>
  <w:style w:type="paragraph" w:customStyle="1" w:styleId="Aufzhlung6">
    <w:name w:val="Aufzählung 6"/>
    <w:basedOn w:val="Standard"/>
    <w:uiPriority w:val="6"/>
    <w:unhideWhenUsed/>
    <w:rsid w:val="00D56E04"/>
    <w:pPr>
      <w:spacing w:after="120" w:line="240" w:lineRule="auto"/>
      <w:ind w:left="4320" w:hanging="360"/>
      <w:jc w:val="both"/>
    </w:pPr>
    <w:rPr>
      <w:rFonts w:cs="Arial"/>
      <w:sz w:val="20"/>
      <w:szCs w:val="20"/>
    </w:rPr>
  </w:style>
  <w:style w:type="paragraph" w:customStyle="1" w:styleId="Aufzhlung7">
    <w:name w:val="Aufzählung 7"/>
    <w:basedOn w:val="Standard"/>
    <w:uiPriority w:val="6"/>
    <w:unhideWhenUsed/>
    <w:rsid w:val="00D56E04"/>
    <w:pPr>
      <w:spacing w:after="120" w:line="240" w:lineRule="auto"/>
      <w:ind w:left="5040" w:hanging="360"/>
      <w:jc w:val="both"/>
    </w:pPr>
    <w:rPr>
      <w:rFonts w:cs="Arial"/>
      <w:sz w:val="20"/>
      <w:szCs w:val="20"/>
    </w:rPr>
  </w:style>
  <w:style w:type="paragraph" w:customStyle="1" w:styleId="Aufzhlung8">
    <w:name w:val="Aufzählung 8"/>
    <w:basedOn w:val="Standard"/>
    <w:uiPriority w:val="6"/>
    <w:unhideWhenUsed/>
    <w:rsid w:val="00D56E04"/>
    <w:pPr>
      <w:spacing w:after="120" w:line="240" w:lineRule="auto"/>
      <w:ind w:left="5760" w:hanging="360"/>
      <w:jc w:val="both"/>
    </w:pPr>
    <w:rPr>
      <w:rFonts w:cs="Arial"/>
      <w:sz w:val="20"/>
      <w:szCs w:val="20"/>
    </w:rPr>
  </w:style>
  <w:style w:type="paragraph" w:customStyle="1" w:styleId="Aufzhlung9">
    <w:name w:val="Aufzählung 9"/>
    <w:basedOn w:val="Standard"/>
    <w:uiPriority w:val="6"/>
    <w:unhideWhenUsed/>
    <w:rsid w:val="00D56E04"/>
    <w:pPr>
      <w:spacing w:after="120" w:line="240" w:lineRule="auto"/>
      <w:ind w:left="6480" w:hanging="360"/>
      <w:jc w:val="both"/>
    </w:pPr>
    <w:rPr>
      <w:rFonts w:cs="Arial"/>
      <w:sz w:val="20"/>
      <w:szCs w:val="20"/>
    </w:rPr>
  </w:style>
  <w:style w:type="character" w:styleId="Kommentarzeichen">
    <w:name w:val="annotation reference"/>
    <w:basedOn w:val="Absatz-Standardschriftart"/>
    <w:semiHidden/>
    <w:unhideWhenUsed/>
    <w:rsid w:val="00D56E04"/>
    <w:rPr>
      <w:sz w:val="16"/>
      <w:szCs w:val="16"/>
    </w:rPr>
  </w:style>
  <w:style w:type="paragraph" w:customStyle="1" w:styleId="Formatvorlage1">
    <w:name w:val="Formatvorlage1"/>
    <w:basedOn w:val="Standard"/>
    <w:rsid w:val="00D56E04"/>
    <w:pPr>
      <w:spacing w:after="120" w:line="240" w:lineRule="auto"/>
      <w:ind w:left="2160" w:hanging="360"/>
    </w:pPr>
    <w:rPr>
      <w:rFonts w:cs="Arial"/>
      <w:szCs w:val="20"/>
    </w:rPr>
  </w:style>
  <w:style w:type="table" w:customStyle="1" w:styleId="DIGITSTabelle">
    <w:name w:val="DIGITS Tabelle"/>
    <w:basedOn w:val="TabelleRaster8"/>
    <w:uiPriority w:val="99"/>
    <w:rsid w:val="00D56E04"/>
    <w:pPr>
      <w:spacing w:after="0" w:line="240" w:lineRule="auto"/>
    </w:pPr>
    <w:rPr>
      <w:sz w:val="20"/>
      <w:szCs w:val="20"/>
      <w:lang w:val="en-US" w:eastAsia="de-DE"/>
    </w:rPr>
    <w:tblP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jc w:val="center"/>
      </w:pPr>
      <w:rPr>
        <w:b w:val="0"/>
        <w:bCs/>
        <w:color w:val="FFFFFF" w:themeColor="background1"/>
      </w:rPr>
      <w:tblPr/>
      <w:tcPr>
        <w:tcBorders>
          <w:tl2br w:val="none" w:sz="0" w:space="0" w:color="auto"/>
          <w:tr2bl w:val="none" w:sz="0" w:space="0" w:color="auto"/>
        </w:tcBorders>
        <w:shd w:val="clear" w:color="auto" w:fill="C30F08"/>
        <w:vAlign w:val="center"/>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ulletedlist">
    <w:name w:val="Bulleted list"/>
    <w:basedOn w:val="Listenabsatz"/>
    <w:autoRedefine/>
    <w:uiPriority w:val="5"/>
    <w:qFormat/>
    <w:rsid w:val="00D56E04"/>
    <w:pPr>
      <w:numPr>
        <w:numId w:val="10"/>
      </w:numPr>
      <w:spacing w:before="240" w:after="240" w:line="240" w:lineRule="auto"/>
      <w:ind w:left="720"/>
    </w:pPr>
    <w:rPr>
      <w:rFonts w:asciiTheme="minorHAnsi" w:eastAsia="Times New Roman" w:hAnsiTheme="minorHAnsi" w:cs="Times New Roman"/>
      <w:i/>
      <w:iCs/>
      <w:noProof/>
      <w:color w:val="444444"/>
      <w:sz w:val="24"/>
      <w:szCs w:val="24"/>
      <w:lang w:val="en-GB"/>
    </w:rPr>
  </w:style>
  <w:style w:type="paragraph" w:customStyle="1" w:styleId="ISMSDokStandardText">
    <w:name w:val="ISMS Dok Standard Text"/>
    <w:basedOn w:val="Standard"/>
    <w:link w:val="ISMSDokStandardTextZchn"/>
    <w:qFormat/>
    <w:rsid w:val="000C3BAC"/>
    <w:pPr>
      <w:spacing w:after="120" w:line="240" w:lineRule="auto"/>
    </w:pPr>
  </w:style>
  <w:style w:type="character" w:customStyle="1" w:styleId="ISMSDokStandardTextZchn">
    <w:name w:val="ISMS Dok Standard Text Zchn"/>
    <w:basedOn w:val="Absatz-Standardschriftart"/>
    <w:link w:val="ISMSDokStandardText"/>
    <w:rsid w:val="000C3BAC"/>
  </w:style>
  <w:style w:type="paragraph" w:customStyle="1" w:styleId="DIGITSAufzhlung1">
    <w:name w:val="DIGITS Aufzählung 1"/>
    <w:basedOn w:val="Standard"/>
    <w:link w:val="DIGITSAufzhlung1Zchn"/>
    <w:qFormat/>
    <w:rsid w:val="00D56E04"/>
    <w:pPr>
      <w:spacing w:after="120" w:line="240" w:lineRule="auto"/>
      <w:ind w:left="720" w:hanging="360"/>
      <w:jc w:val="both"/>
    </w:pPr>
    <w:rPr>
      <w:rFonts w:cs="Arial"/>
      <w:sz w:val="20"/>
      <w:szCs w:val="20"/>
    </w:rPr>
  </w:style>
  <w:style w:type="character" w:customStyle="1" w:styleId="DIGITSAufzhlung1Zchn">
    <w:name w:val="DIGITS Aufzählung 1 Zchn"/>
    <w:basedOn w:val="Absatz-Standardschriftart"/>
    <w:link w:val="DIGITSAufzhlung1"/>
    <w:rsid w:val="00D56E04"/>
    <w:rPr>
      <w:rFonts w:cs="Arial"/>
      <w:sz w:val="20"/>
      <w:szCs w:val="20"/>
    </w:rPr>
  </w:style>
  <w:style w:type="character" w:customStyle="1" w:styleId="normaltextrun">
    <w:name w:val="normaltextrun"/>
    <w:basedOn w:val="Absatz-Standardschriftart"/>
    <w:rsid w:val="00D56E04"/>
  </w:style>
  <w:style w:type="paragraph" w:customStyle="1" w:styleId="paragraph">
    <w:name w:val="paragraph"/>
    <w:basedOn w:val="Standard"/>
    <w:rsid w:val="00D56E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gkelc">
    <w:name w:val="hgkelc"/>
    <w:basedOn w:val="Absatz-Standardschriftart"/>
    <w:rsid w:val="00D56E04"/>
  </w:style>
  <w:style w:type="paragraph" w:styleId="Listenabsatz">
    <w:name w:val="List Paragraph"/>
    <w:basedOn w:val="Standard"/>
    <w:uiPriority w:val="34"/>
    <w:qFormat/>
    <w:rsid w:val="00D56E04"/>
    <w:pPr>
      <w:ind w:left="720"/>
      <w:contextualSpacing/>
    </w:pPr>
  </w:style>
  <w:style w:type="paragraph" w:styleId="Kommentarthema">
    <w:name w:val="annotation subject"/>
    <w:basedOn w:val="Kommentartext"/>
    <w:next w:val="Kommentartext"/>
    <w:link w:val="KommentarthemaZchn"/>
    <w:uiPriority w:val="99"/>
    <w:semiHidden/>
    <w:unhideWhenUsed/>
    <w:rsid w:val="003E1D2B"/>
    <w:pPr>
      <w:spacing w:after="160"/>
      <w:jc w:val="left"/>
    </w:pPr>
    <w:rPr>
      <w:b/>
      <w:bCs/>
    </w:rPr>
  </w:style>
  <w:style w:type="character" w:customStyle="1" w:styleId="KommentarthemaZchn">
    <w:name w:val="Kommentarthema Zchn"/>
    <w:basedOn w:val="KommentartextZchn"/>
    <w:link w:val="Kommentarthema"/>
    <w:uiPriority w:val="99"/>
    <w:semiHidden/>
    <w:rsid w:val="003E1D2B"/>
    <w:rPr>
      <w:b/>
      <w:bCs/>
      <w:sz w:val="20"/>
      <w:szCs w:val="20"/>
    </w:rPr>
  </w:style>
  <w:style w:type="paragraph" w:styleId="Sprechblasentext">
    <w:name w:val="Balloon Text"/>
    <w:basedOn w:val="Standard"/>
    <w:link w:val="SprechblasentextZchn"/>
    <w:uiPriority w:val="99"/>
    <w:semiHidden/>
    <w:unhideWhenUsed/>
    <w:rsid w:val="006A2E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2E72"/>
    <w:rPr>
      <w:rFonts w:ascii="Segoe UI" w:hAnsi="Segoe UI" w:cs="Segoe UI"/>
      <w:sz w:val="18"/>
      <w:szCs w:val="18"/>
    </w:rPr>
  </w:style>
  <w:style w:type="paragraph" w:styleId="berarbeitung">
    <w:name w:val="Revision"/>
    <w:hidden/>
    <w:uiPriority w:val="99"/>
    <w:semiHidden/>
    <w:rsid w:val="009B08E3"/>
    <w:pPr>
      <w:spacing w:after="0" w:line="240" w:lineRule="auto"/>
    </w:pPr>
  </w:style>
  <w:style w:type="paragraph" w:customStyle="1" w:styleId="ISMSStandardText">
    <w:name w:val="ISMS Standard Text"/>
    <w:basedOn w:val="Standard"/>
    <w:link w:val="ISMSStandardTextZchn"/>
    <w:qFormat/>
    <w:rsid w:val="00212952"/>
    <w:pPr>
      <w:spacing w:after="120" w:line="240" w:lineRule="auto"/>
    </w:pPr>
  </w:style>
  <w:style w:type="character" w:customStyle="1" w:styleId="ISMSStandardTextZchn">
    <w:name w:val="ISMS Standard Text Zchn"/>
    <w:basedOn w:val="Absatz-Standardschriftart"/>
    <w:link w:val="ISMSStandardText"/>
    <w:rsid w:val="00212952"/>
  </w:style>
  <w:style w:type="character" w:customStyle="1" w:styleId="eop">
    <w:name w:val="eop"/>
    <w:basedOn w:val="Absatz-Standardschriftart"/>
    <w:rsid w:val="006C1C2E"/>
  </w:style>
  <w:style w:type="character" w:customStyle="1" w:styleId="berschrift2Zchn">
    <w:name w:val="Überschrift 2 Zchn"/>
    <w:basedOn w:val="Absatz-Standardschriftart"/>
    <w:link w:val="berschrift2"/>
    <w:uiPriority w:val="9"/>
    <w:rsid w:val="000826D0"/>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0826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infooverlayfabb5ed2">
    <w:name w:val="textinfooverlay_fabb5ed2"/>
    <w:basedOn w:val="Absatz-Standardschriftart"/>
    <w:rsid w:val="000826D0"/>
  </w:style>
  <w:style w:type="character" w:styleId="BesuchterLink">
    <w:name w:val="FollowedHyperlink"/>
    <w:basedOn w:val="Absatz-Standardschriftart"/>
    <w:uiPriority w:val="99"/>
    <w:semiHidden/>
    <w:unhideWhenUsed/>
    <w:rsid w:val="000D0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11544">
      <w:bodyDiv w:val="1"/>
      <w:marLeft w:val="0"/>
      <w:marRight w:val="0"/>
      <w:marTop w:val="0"/>
      <w:marBottom w:val="0"/>
      <w:divBdr>
        <w:top w:val="none" w:sz="0" w:space="0" w:color="auto"/>
        <w:left w:val="none" w:sz="0" w:space="0" w:color="auto"/>
        <w:bottom w:val="none" w:sz="0" w:space="0" w:color="auto"/>
        <w:right w:val="none" w:sz="0" w:space="0" w:color="auto"/>
      </w:divBdr>
    </w:div>
    <w:div w:id="611667132">
      <w:bodyDiv w:val="1"/>
      <w:marLeft w:val="0"/>
      <w:marRight w:val="0"/>
      <w:marTop w:val="0"/>
      <w:marBottom w:val="0"/>
      <w:divBdr>
        <w:top w:val="none" w:sz="0" w:space="0" w:color="auto"/>
        <w:left w:val="none" w:sz="0" w:space="0" w:color="auto"/>
        <w:bottom w:val="none" w:sz="0" w:space="0" w:color="auto"/>
        <w:right w:val="none" w:sz="0" w:space="0" w:color="auto"/>
      </w:divBdr>
      <w:divsChild>
        <w:div w:id="884681073">
          <w:marLeft w:val="0"/>
          <w:marRight w:val="0"/>
          <w:marTop w:val="0"/>
          <w:marBottom w:val="0"/>
          <w:divBdr>
            <w:top w:val="none" w:sz="0" w:space="0" w:color="auto"/>
            <w:left w:val="none" w:sz="0" w:space="0" w:color="auto"/>
            <w:bottom w:val="none" w:sz="0" w:space="0" w:color="auto"/>
            <w:right w:val="none" w:sz="0" w:space="0" w:color="auto"/>
          </w:divBdr>
          <w:divsChild>
            <w:div w:id="656032787">
              <w:marLeft w:val="0"/>
              <w:marRight w:val="0"/>
              <w:marTop w:val="0"/>
              <w:marBottom w:val="0"/>
              <w:divBdr>
                <w:top w:val="none" w:sz="0" w:space="0" w:color="auto"/>
                <w:left w:val="none" w:sz="0" w:space="0" w:color="auto"/>
                <w:bottom w:val="none" w:sz="0" w:space="0" w:color="auto"/>
                <w:right w:val="none" w:sz="0" w:space="0" w:color="auto"/>
              </w:divBdr>
            </w:div>
          </w:divsChild>
        </w:div>
        <w:div w:id="67121587">
          <w:marLeft w:val="-120"/>
          <w:marRight w:val="-120"/>
          <w:marTop w:val="0"/>
          <w:marBottom w:val="0"/>
          <w:divBdr>
            <w:top w:val="none" w:sz="0" w:space="0" w:color="auto"/>
            <w:left w:val="none" w:sz="0" w:space="0" w:color="auto"/>
            <w:bottom w:val="none" w:sz="0" w:space="0" w:color="auto"/>
            <w:right w:val="none" w:sz="0" w:space="0" w:color="auto"/>
          </w:divBdr>
          <w:divsChild>
            <w:div w:id="838695935">
              <w:marLeft w:val="0"/>
              <w:marRight w:val="0"/>
              <w:marTop w:val="0"/>
              <w:marBottom w:val="0"/>
              <w:divBdr>
                <w:top w:val="none" w:sz="0" w:space="0" w:color="auto"/>
                <w:left w:val="none" w:sz="0" w:space="0" w:color="auto"/>
                <w:bottom w:val="none" w:sz="0" w:space="0" w:color="auto"/>
                <w:right w:val="none" w:sz="0" w:space="0" w:color="auto"/>
              </w:divBdr>
              <w:divsChild>
                <w:div w:id="1143231732">
                  <w:marLeft w:val="0"/>
                  <w:marRight w:val="0"/>
                  <w:marTop w:val="0"/>
                  <w:marBottom w:val="0"/>
                  <w:divBdr>
                    <w:top w:val="none" w:sz="0" w:space="0" w:color="auto"/>
                    <w:left w:val="none" w:sz="0" w:space="0" w:color="auto"/>
                    <w:bottom w:val="none" w:sz="0" w:space="0" w:color="auto"/>
                    <w:right w:val="none" w:sz="0" w:space="0" w:color="auto"/>
                  </w:divBdr>
                  <w:divsChild>
                    <w:div w:id="20196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61435">
      <w:bodyDiv w:val="1"/>
      <w:marLeft w:val="0"/>
      <w:marRight w:val="0"/>
      <w:marTop w:val="0"/>
      <w:marBottom w:val="0"/>
      <w:divBdr>
        <w:top w:val="none" w:sz="0" w:space="0" w:color="auto"/>
        <w:left w:val="none" w:sz="0" w:space="0" w:color="auto"/>
        <w:bottom w:val="none" w:sz="0" w:space="0" w:color="auto"/>
        <w:right w:val="none" w:sz="0" w:space="0" w:color="auto"/>
      </w:divBdr>
    </w:div>
    <w:div w:id="20046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wale_jan\OneDrive%20-%20Deutsche%20Gesellschaft%20f&#252;r%20Internationale%20Zusammenarbeit%20(GIZ)%20GmbH\ISO%2027001\DIGITS%20Hinweisdokumente%20und%20Vorlagen\Vorlagen\vorlage_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EDAA3DBBC5C443B68D64AADA87B6AF" ma:contentTypeVersion="13" ma:contentTypeDescription="Ein neues Dokument erstellen." ma:contentTypeScope="" ma:versionID="f2256245c0d50183c1d60b85fd25b372">
  <xsd:schema xmlns:xsd="http://www.w3.org/2001/XMLSchema" xmlns:xs="http://www.w3.org/2001/XMLSchema" xmlns:p="http://schemas.microsoft.com/office/2006/metadata/properties" xmlns:ns2="06b1725d-731f-4ed9-bd71-44911fd22cb9" xmlns:ns3="5b2da64c-6feb-4797-a606-1e8be73fc9da" targetNamespace="http://schemas.microsoft.com/office/2006/metadata/properties" ma:root="true" ma:fieldsID="47f8a84e22ce9b257318f4a3d3f72b2d" ns2:_="" ns3:_="">
    <xsd:import namespace="06b1725d-731f-4ed9-bd71-44911fd22cb9"/>
    <xsd:import namespace="5b2da64c-6feb-4797-a606-1e8be73fc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1725d-731f-4ed9-bd71-44911fd22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2da64c-6feb-4797-a606-1e8be73fc9d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ef56c7-42b4-4e5a-b3d2-a70f6612c6bd}" ma:internalName="TaxCatchAll" ma:showField="CatchAllData" ma:web="5b2da64c-6feb-4797-a606-1e8be73fc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1725d-731f-4ed9-bd71-44911fd22cb9">
      <Terms xmlns="http://schemas.microsoft.com/office/infopath/2007/PartnerControls"/>
    </lcf76f155ced4ddcb4097134ff3c332f>
    <TaxCatchAll xmlns="5b2da64c-6feb-4797-a606-1e8be73fc9da" xsi:nil="true"/>
  </documentManagement>
</p:properties>
</file>

<file path=customXml/itemProps1.xml><?xml version="1.0" encoding="utf-8"?>
<ds:datastoreItem xmlns:ds="http://schemas.openxmlformats.org/officeDocument/2006/customXml" ds:itemID="{C261DFD9-1990-43B1-B70B-7F49632EB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1725d-731f-4ed9-bd71-44911fd22cb9"/>
    <ds:schemaRef ds:uri="5b2da64c-6feb-4797-a606-1e8be73fc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8B24D-EE7F-4CE4-9D90-189A18E787F2}">
  <ds:schemaRefs>
    <ds:schemaRef ds:uri="http://schemas.microsoft.com/sharepoint/v3/contenttype/forms"/>
  </ds:schemaRefs>
</ds:datastoreItem>
</file>

<file path=customXml/itemProps3.xml><?xml version="1.0" encoding="utf-8"?>
<ds:datastoreItem xmlns:ds="http://schemas.openxmlformats.org/officeDocument/2006/customXml" ds:itemID="{973089FE-4A4A-45EA-8149-915D0DFD0AC9}">
  <ds:schemaRefs>
    <ds:schemaRef ds:uri="http://schemas.openxmlformats.org/officeDocument/2006/bibliography"/>
  </ds:schemaRefs>
</ds:datastoreItem>
</file>

<file path=customXml/itemProps4.xml><?xml version="1.0" encoding="utf-8"?>
<ds:datastoreItem xmlns:ds="http://schemas.openxmlformats.org/officeDocument/2006/customXml" ds:itemID="{1DB1762F-648E-4EC8-81BC-46AEB8CBC906}">
  <ds:schemaRefs>
    <ds:schemaRef ds:uri="http://schemas.microsoft.com/office/2006/metadata/properties"/>
    <ds:schemaRef ds:uri="http://schemas.microsoft.com/office/infopath/2007/PartnerControls"/>
    <ds:schemaRef ds:uri="06b1725d-731f-4ed9-bd71-44911fd22cb9"/>
    <ds:schemaRef ds:uri="5b2da64c-6feb-4797-a606-1e8be73fc9da"/>
  </ds:schemaRefs>
</ds:datastoreItem>
</file>

<file path=docProps/app.xml><?xml version="1.0" encoding="utf-8"?>
<Properties xmlns="http://schemas.openxmlformats.org/officeDocument/2006/extended-properties" xmlns:vt="http://schemas.openxmlformats.org/officeDocument/2006/docPropsVTypes">
  <Template>vorlage_master</Template>
  <TotalTime>0</TotalTime>
  <Pages>9</Pages>
  <Words>3544</Words>
  <Characters>20204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Behnke</dc:creator>
  <cp:keywords/>
  <dc:description/>
  <cp:lastModifiedBy>Solis Montes de Oca, Luis Sergio GIZ MX</cp:lastModifiedBy>
  <cp:revision>4</cp:revision>
  <cp:lastPrinted>2022-10-28T09:31:00Z</cp:lastPrinted>
  <dcterms:created xsi:type="dcterms:W3CDTF">2026-06-27T00:26:00Z</dcterms:created>
  <dcterms:modified xsi:type="dcterms:W3CDTF">2026-07-07T20:21:00Z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0x010100A0EDAA3DBBC5C443B68D64AADA87B6AF</vt:lpwstr>
  </property>
  <property fmtid="{D5CDD505-2E9C-101B-9397-08002B2CF9AE}" pid="3" name="MediaServiceImageTags">
    <vt:lpwstr/>
  </property>
</Properties>
</file>