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word/comments.xml" ContentType="application/vnd.openxmlformats-officedocument.wordprocessingml.comment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
      </w:pPr>
    </w:p>
    <w:p>
      <w:pPr>
        <w:spacing w:after="0"/>
        <w:jc w:val="center"/>
      </w:pPr>
      <w:r>
        <w:rPr>
          <w:rFonts w:ascii="Times New Roman" w:cs="Times New Roman" w:eastAsia="Times New Roman" w:hAnsi="Times New Roman"/>
          <w:b/>
          <w:bCs/>
          <w:sz w:val="28"/>
          <w:szCs w:val="28"/>
        </w:rPr>
        <w:t xml:space="preserve">Call for Applications:</w:t>
      </w:r>
    </w:p>
    <w:p>
      <w:pPr>
        <w:spacing w:after="300"/>
        <w:jc w:val="center"/>
      </w:pPr>
      <w:r>
        <w:rPr>
          <w:rFonts w:ascii="Times New Roman" w:cs="Times New Roman" w:eastAsia="Times New Roman" w:hAnsi="Times New Roman"/>
          <w:b/>
          <w:bCs/>
          <w:sz w:val="28"/>
          <w:szCs w:val="28"/>
        </w:rPr>
        <w:t xml:space="preserve">Enhancing Technical Capacity of Ghana's Small Scale Pharmaceutical Manufacturers</w:t>
      </w:r>
    </w:p>
    <w:p>
      <w:pPr>
        <w:spacing w:after="60"/>
        <w:jc w:val="center"/>
      </w:pPr>
      <w:r>
        <w:rPr>
          <w:rFonts w:ascii="Times New Roman" w:cs="Times New Roman" w:eastAsia="Times New Roman" w:hAnsi="Times New Roman"/>
          <w:b/>
          <w:bCs/>
          <w:sz w:val="32"/>
          <w:szCs w:val="32"/>
        </w:rPr>
        <w:t xml:space="preserve">Application Form</w:t>
      </w:r>
    </w:p>
    <w:p>
      <w:pPr>
        <w:spacing w:after="480"/>
        <w:jc w:val="center"/>
      </w:pPr>
      <w:r>
        <w:rPr>
          <w:rFonts w:ascii="Times New Roman" w:cs="Times New Roman" w:eastAsia="Times New Roman" w:hAnsi="Times New Roman"/>
          <w:b/>
          <w:bCs/>
          <w:sz w:val="20"/>
          <w:szCs w:val="20"/>
        </w:rPr>
        <w:t xml:space="preserve">Deadline for Submission: 10.11.2026</w:t>
      </w:r>
    </w:p>
    <w:p>
      <w:pPr>
        <w:spacing w:after="160" w:line="240"/>
      </w:pPr>
      <w:r>
        <w:rPr>
          <w:rFonts w:ascii="Times New Roman" w:cs="Times New Roman" w:eastAsia="Times New Roman" w:hAnsi="Times New Roman"/>
          <w:sz w:val="20"/>
          <w:szCs w:val="20"/>
        </w:rPr>
        <w:t xml:space="preserve">This call for applications is organized by the Deutsche Gesellschaft für Internationale Zusammenarbeit (GIZ) GmbH and Luvent Consulting GmbH, A Chemonics Company. It is part of the programme “Strengthening the Ghanaian Pharmaceutical Sector with a Focus on Vaccine Production” (PharmaVax Ghana) implemented with the financial support of the European Union (EU) and the German Federal Ministry for Economic Cooperation and Development (BMZ) as part of the Team Europe Initiative MAV+. The contents of this document are the sole responsibility of GIZ and Luvent and do not necessarily reflect the views of the EU or the BMZ.</w:t>
      </w:r>
    </w:p>
    <w:p>
      <w:pPr>
        <w:keepNext/>
        <w:spacing w:after="120" w:before="240"/>
      </w:pPr>
      <w:r>
        <w:rPr>
          <w:rFonts w:ascii="Aptos Display" w:cs="Aptos Display" w:eastAsia="Aptos Display" w:hAnsi="Aptos Display"/>
          <w:color w:val="0F4761"/>
          <w:sz w:val="40"/>
          <w:szCs w:val="40"/>
        </w:rPr>
        <w:t xml:space="preserve">1. General Instructions</w:t>
      </w:r>
    </w:p>
    <w:p>
      <w:pPr>
        <w:spacing w:after="160" w:line="240"/>
      </w:pPr>
      <w:r>
        <w:rPr>
          <w:rFonts w:ascii="Times New Roman" w:cs="Times New Roman" w:eastAsia="Times New Roman" w:hAnsi="Times New Roman"/>
          <w:sz w:val="20"/>
          <w:szCs w:val="20"/>
        </w:rPr>
        <w:t xml:space="preserve">The PharmaVax Ghana programme is now accepting applications from qualified Ghanaian Small Scale pharmaceutical manufacturers seeking targeted advisory services as outlined in the Applicant Information Pack.</w:t>
      </w:r>
    </w:p>
    <w:p>
      <w:pPr>
        <w:spacing w:after="160" w:line="240"/>
      </w:pPr>
      <w:r>
        <w:rPr>
          <w:rFonts w:ascii="Times New Roman" w:cs="Times New Roman" w:eastAsia="Times New Roman" w:hAnsi="Times New Roman"/>
          <w:sz w:val="20"/>
          <w:szCs w:val="20"/>
        </w:rPr>
        <w:t xml:space="preserve">Applicants are required to complete this Application Form in full. All questions must be answered, and supporting documents attached. Incomplete form will not be considered.</w:t>
      </w:r>
    </w:p>
    <w:p>
      <w:pPr>
        <w:spacing w:after="160" w:line="240"/>
      </w:pPr>
      <w:r>
        <w:rPr>
          <w:rFonts w:ascii="Times New Roman" w:cs="Times New Roman" w:eastAsia="Times New Roman" w:hAnsi="Times New Roman"/>
          <w:sz w:val="20"/>
          <w:szCs w:val="20"/>
        </w:rPr>
        <w:t xml:space="preserve">Please note: This Call for Applications is for technical assistance support only and does not provide financial grants or funding.</w:t>
      </w:r>
    </w:p>
    <w:p>
      <w:pPr>
        <w:spacing w:after="160" w:line="240"/>
      </w:pPr>
      <w:r>
        <w:rPr>
          <w:rFonts w:ascii="Times New Roman" w:cs="Times New Roman" w:eastAsia="Times New Roman" w:hAnsi="Times New Roman"/>
          <w:sz w:val="20"/>
          <w:szCs w:val="20"/>
        </w:rPr>
        <w:t xml:space="preserve">All submitted information will be used exclusively to evaluate applicants and will not be disclosed to third parties beyond the evaluation committee. Completed application forms, in PDF or in Word, must be sent by the deadline of </w:t>
      </w:r>
      <w:r>
        <w:rPr>
          <w:rFonts w:ascii="Times New Roman" w:cs="Times New Roman" w:eastAsia="Times New Roman" w:hAnsi="Times New Roman"/>
          <w:b/>
          <w:bCs/>
          <w:sz w:val="20"/>
          <w:szCs w:val="20"/>
        </w:rPr>
        <w:t xml:space="preserve">06.11.2026 by 5:00 pm GMT to: </w:t>
      </w:r>
      <w:hyperlink w:history="1" r:id="rIddvx4y8frphumusuimy29b">
        <w:r>
          <w:rPr>
            <w:rFonts w:ascii="Times New Roman" w:cs="Times New Roman" w:eastAsia="Times New Roman" w:hAnsi="Times New Roman"/>
            <w:b/>
            <w:bCs/>
            <w:color w:val="467886"/>
            <w:sz w:val="20"/>
            <w:szCs w:val="20"/>
            <w:u w:val="single"/>
          </w:rPr>
          <w:t xml:space="preserve">pharmavax-ghana@luvent-consulting.com</w:t>
        </w:r>
      </w:hyperlink>
      <w:r>
        <w:rPr>
          <w:rFonts w:ascii="Times New Roman" w:cs="Times New Roman" w:eastAsia="Times New Roman" w:hAnsi="Times New Roman"/>
          <w:sz w:val="20"/>
          <w:szCs w:val="20"/>
        </w:rPr>
        <w:t xml:space="preserve"> Subject Line: Submission for Call for Applications. Late submissions will not be considered.</w:t>
      </w:r>
    </w:p>
    <w:p>
      <w:pPr>
        <w:spacing w:after="160" w:line="240"/>
      </w:pPr>
      <w:r>
        <w:rPr>
          <w:rFonts w:ascii="Times New Roman" w:cs="Times New Roman" w:eastAsia="Times New Roman" w:hAnsi="Times New Roman"/>
          <w:sz w:val="20"/>
          <w:szCs w:val="20"/>
        </w:rPr>
        <w:t xml:space="preserve">All other enquiries, questions or concerns regarding the application process must be forwarded to </w:t>
      </w:r>
      <w:hyperlink w:history="1" r:id="rIdovxsnyncikg2q6aqk8el-">
        <w:r>
          <w:rPr>
            <w:rFonts w:ascii="Times New Roman" w:cs="Times New Roman" w:eastAsia="Times New Roman" w:hAnsi="Times New Roman"/>
            <w:b/>
            <w:bCs/>
            <w:color w:val="467886"/>
            <w:sz w:val="20"/>
            <w:szCs w:val="20"/>
            <w:u w:val="single"/>
          </w:rPr>
          <w:t xml:space="preserve">pharmavax-ghana@luvent-consulting.com</w:t>
        </w:r>
      </w:hyperlink>
      <w:r>
        <w:rPr>
          <w:rFonts w:ascii="Times New Roman" w:cs="Times New Roman" w:eastAsia="Times New Roman" w:hAnsi="Times New Roman"/>
          <w:b/>
          <w:bCs/>
          <w:sz w:val="20"/>
          <w:szCs w:val="20"/>
        </w:rPr>
        <w:t xml:space="preserve"> or contact Luvent on Mobile Phone number: +233596755544</w:t>
      </w:r>
    </w:p>
    <w:p>
      <w:pPr>
        <w:spacing w:after="40"/>
      </w:pPr>
      <w:r>
        <w:rPr>
          <w:rFonts w:ascii="Times New Roman" w:cs="Times New Roman" w:eastAsia="Times New Roman" w:hAnsi="Times New Roman"/>
          <w:b/>
          <w:bCs/>
          <w:sz w:val="20"/>
          <w:szCs w:val="20"/>
        </w:rPr>
        <w:t xml:space="preserve">Data Processing Consent</w:t>
      </w:r>
    </w:p>
    <w:p>
      <w:pPr>
        <w:spacing w:after="160" w:line="240"/>
      </w:pPr>
      <w:r>
        <w:rPr>
          <w:rFonts w:ascii="Times New Roman" w:cs="Times New Roman" w:eastAsia="Times New Roman" w:hAnsi="Times New Roman"/>
          <w:sz w:val="20"/>
          <w:szCs w:val="20"/>
        </w:rPr>
        <w:t xml:space="preserve">By submitting this application, the applicants hereby consent to the processing and storage of the information provided by GIZ and Luvent for the PharmaVax Ghana Programme. The information will be used solely for the purpose of evaluating and determining the validity of the submitted proposals. Applicants may revoke consent at any time by contacting GIZ via the email address listed above.</w:t>
      </w:r>
    </w:p>
    <w:p>
      <w:pPr>
        <w:spacing w:after="160" w:line="240"/>
        <w:jc w:val="both"/>
      </w:pPr>
      <w:r>
        <w:rPr>
          <w:rFonts w:ascii="Times New Roman" w:cs="Times New Roman" w:eastAsia="Times New Roman" w:hAnsi="Times New Roman"/>
          <w:b/>
          <w:bCs/>
          <w:sz w:val="20"/>
          <w:szCs w:val="20"/>
        </w:rPr>
        <w:t xml:space="preserve">Please note: This initiative may provide equipment acquisition support on a case-by-case basis. Other support will be offered in the form of targeted technical and business assistance only (e.g. specialised training, advisory support, GMP guidance, short-term expert days for human capacity development, etc.).</w:t>
      </w:r>
    </w:p>
    <w:p>
      <w:pPr>
        <w:keepNext/>
        <w:spacing w:after="120" w:before="600"/>
      </w:pPr>
      <w:r>
        <w:rPr>
          <w:rFonts w:ascii="Aptos Display" w:cs="Aptos Display" w:eastAsia="Aptos Display" w:hAnsi="Aptos Display"/>
          <w:color w:val="0F4761"/>
          <w:sz w:val="40"/>
          <w:szCs w:val="40"/>
        </w:rPr>
        <w:t xml:space="preserve">2. Company Information</w:t>
      </w:r>
    </w:p>
    <w:p>
      <w:pPr>
        <w:spacing w:after="160" w:line="240"/>
      </w:pPr>
      <w:r>
        <w:rPr>
          <w:rFonts w:ascii="Times New Roman" w:cs="Times New Roman" w:eastAsia="Times New Roman" w:hAnsi="Times New Roman"/>
          <w:sz w:val="20"/>
          <w:szCs w:val="20"/>
        </w:rPr>
        <w:t xml:space="preserve">In the Table below, provide basic operational information about your company to help us assess your eligibility under this Call for Application.</w:t>
      </w:r>
    </w:p>
    <w:tbl>
      <w:tblPr>
        <w:tblW w:type="dxa" w:w="10082"/>
        <w:tblBorders>
          <w:top w:val="single" w:color="auto" w:sz="4"/>
          <w:left w:val="single" w:color="auto" w:sz="4"/>
          <w:bottom w:val="single" w:color="auto" w:sz="4"/>
          <w:right w:val="single" w:color="auto" w:sz="4"/>
          <w:insideH w:val="single" w:color="auto" w:sz="4"/>
          <w:insideV w:val="single" w:color="auto" w:sz="4"/>
        </w:tblBorders>
      </w:tblPr>
      <w:tblGrid>
        <w:gridCol w:w="4674"/>
        <w:gridCol w:w="5408"/>
      </w:tblGrid>
      <w:tr>
        <w:trPr>
          <w:trHeight w:val="440" w:hRule="atLeast"/>
        </w:trPr>
        <w:tc>
          <w:tcPr>
            <w:tcW w:type="dxa" w:w="467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pageBreakBefore/>
              <w:spacing w:after="0" w:line="240"/>
            </w:pPr>
            <w:r>
              <w:rPr>
                <w:rFonts w:ascii="Times New Roman" w:cs="Times New Roman" w:eastAsia="Times New Roman" w:hAnsi="Times New Roman"/>
                <w:b/>
                <w:bCs/>
                <w:sz w:val="20"/>
                <w:szCs w:val="20"/>
              </w:rPr>
              <w:t xml:space="preserve">Company name</w:t>
            </w:r>
          </w:p>
        </w:tc>
        <w:tc>
          <w:tcPr>
            <w:tcW w:type="dxa" w:w="5408"/>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sdt>
              <w:sdtPr>
                <w:rPr>
                  <w:rFonts w:ascii="Times New Roman" w:cs="Times New Roman" w:eastAsia="Times New Roman" w:hAnsi="Times New Roman"/>
                  <w:sz w:val="20"/>
                  <w:szCs w:val="20"/>
                </w:rPr>
                <w:alias w:val="Company Name"/>
                <w:tag w:val="Company_Name"/>
                <w:id w:val="608742442"/>
                <w:showingPlcHdr/>
                <w:text/>
              </w:sdtPr>
              <w:sdtContent>
                <w:r>
                  <w:rPr>
                    <w:rFonts w:ascii="Times New Roman" w:cs="Times New Roman" w:eastAsia="Times New Roman" w:hAnsi="Times New Roman"/>
                    <w:sz w:val="20"/>
                    <w:szCs w:val="20"/>
                  </w:rPr>
                  <w:t xml:space="preserve">   </w:t>
                </w:r>
              </w:sdtContent>
            </w:sdt>
          </w:p>
        </w:tc>
      </w:tr>
      <w:tr>
        <w:trPr>
          <w:trHeight w:val="670" w:hRule="atLeast"/>
        </w:trPr>
        <w:tc>
          <w:tcPr>
            <w:tcW w:type="dxa" w:w="467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Key Company Contact for the project</w:t>
            </w:r>
            <w:r>
              <w:rPr>
                <w:rFonts w:ascii="Times New Roman" w:cs="Times New Roman" w:eastAsia="Times New Roman" w:hAnsi="Times New Roman"/>
                <w:b/>
                <w:bCs/>
                <w:sz w:val="20"/>
                <w:szCs w:val="20"/>
              </w:rPr>
              <w:br/>
              <w:t xml:space="preserve">(name, position, address, email, phone)</w:t>
            </w:r>
          </w:p>
        </w:tc>
        <w:tc>
          <w:tcPr>
            <w:tcW w:type="dxa" w:w="5408"/>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Key Contact"/>
              <w:tag w:val="Key_Contact"/>
              <w:id w:val="990689789"/>
              <w:showingPlcHdr/>
            </w:sdtPr>
            <w:sdtContent>
              <w:p>
                <w:pPr>
                  <w:spacing w:after="0" w:line="240"/>
                </w:pPr>
                <w:r>
                  <w:rPr>
                    <w:rFonts w:ascii="Times New Roman" w:cs="Times New Roman" w:eastAsia="Times New Roman" w:hAnsi="Times New Roman"/>
                    <w:sz w:val="20"/>
                    <w:szCs w:val="20"/>
                  </w:rPr>
                  <w:t xml:space="preserve">   </w:t>
                </w:r>
              </w:p>
            </w:sdtContent>
          </w:sdt>
        </w:tc>
      </w:tr>
      <w:tr>
        <w:trPr>
          <w:trHeight w:val="742" w:hRule="atLeast"/>
        </w:trPr>
        <w:tc>
          <w:tcPr>
            <w:tcW w:type="dxa" w:w="467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Business registered in Ghana</w:t>
            </w:r>
          </w:p>
        </w:tc>
        <w:tc>
          <w:tcPr>
            <w:tcW w:type="dxa" w:w="5408"/>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sdt>
              <w:sdtPr>
                <w:rPr>
                  <w:rFonts w:ascii="Segoe UI Symbol" w:eastAsia="MS Gothic" w:hAnsi="Segoe UI Symbol" w:cs="Segoe UI Symbol"/>
                  <w:sz w:val="20"/>
                  <w:szCs w:val="20"/>
                </w:rPr>
                <w:alias w:val="Registered Yes"/>
                <w:tag w:val="Registered_Yes"/>
                <w:id w:val="674177543"/>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Yes – attach certificate.</w:t>
            </w:r>
          </w:p>
          <w:p>
            <w:pPr>
              <w:spacing w:after="0" w:line="240"/>
            </w:pPr>
            <w:sdt>
              <w:sdtPr>
                <w:rPr>
                  <w:rFonts w:ascii="Segoe UI Symbol" w:eastAsia="MS Gothic" w:hAnsi="Segoe UI Symbol" w:cs="Segoe UI Symbol"/>
                  <w:sz w:val="20"/>
                  <w:szCs w:val="20"/>
                </w:rPr>
                <w:alias w:val="Registered No"/>
                <w:tag w:val="Registered_No"/>
                <w:id w:val="542488136"/>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No</w:t>
            </w:r>
          </w:p>
        </w:tc>
      </w:tr>
      <w:tr>
        <w:trPr>
          <w:trHeight w:val="742" w:hRule="atLeast"/>
        </w:trPr>
        <w:tc>
          <w:tcPr>
            <w:tcW w:type="dxa" w:w="467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SSPMAG Member</w:t>
            </w:r>
          </w:p>
        </w:tc>
        <w:tc>
          <w:tcPr>
            <w:tcW w:type="dxa" w:w="5408"/>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sdt>
              <w:sdtPr>
                <w:rPr>
                  <w:rFonts w:ascii="Segoe UI Symbol" w:eastAsia="MS Gothic" w:hAnsi="Segoe UI Symbol" w:cs="Segoe UI Symbol"/>
                  <w:sz w:val="20"/>
                  <w:szCs w:val="20"/>
                </w:rPr>
                <w:alias w:val="SSPMAG Yes"/>
                <w:tag w:val="SSPMAG_Yes"/>
                <w:id w:val="197193646"/>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Yes – Attach certificate</w:t>
            </w:r>
          </w:p>
          <w:p>
            <w:pPr>
              <w:spacing w:after="0" w:line="240"/>
            </w:pPr>
            <w:sdt>
              <w:sdtPr>
                <w:rPr>
                  <w:rFonts w:ascii="Segoe UI Symbol" w:eastAsia="MS Gothic" w:hAnsi="Segoe UI Symbol" w:cs="Segoe UI Symbol"/>
                  <w:sz w:val="20"/>
                  <w:szCs w:val="20"/>
                </w:rPr>
                <w:alias w:val="SSPMAG No"/>
                <w:tag w:val="SSPMAG_No"/>
                <w:id w:val="986759957"/>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No</w:t>
            </w:r>
          </w:p>
        </w:tc>
      </w:tr>
      <w:tr>
        <w:trPr>
          <w:trHeight w:val="742" w:hRule="atLeast"/>
        </w:trPr>
        <w:tc>
          <w:tcPr>
            <w:tcW w:type="dxa" w:w="467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Ghana FDA approved local manufacturer</w:t>
            </w:r>
          </w:p>
        </w:tc>
        <w:tc>
          <w:tcPr>
            <w:tcW w:type="dxa" w:w="5408"/>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sdt>
              <w:sdtPr>
                <w:rPr>
                  <w:rFonts w:ascii="Segoe UI Symbol" w:eastAsia="MS Gothic" w:hAnsi="Segoe UI Symbol" w:cs="Segoe UI Symbol"/>
                  <w:sz w:val="20"/>
                  <w:szCs w:val="20"/>
                </w:rPr>
                <w:alias w:val="FDA Yes"/>
                <w:tag w:val="FDA_Yes"/>
                <w:id w:val="775279136"/>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Yes – attach certificate.</w:t>
            </w:r>
          </w:p>
          <w:p>
            <w:pPr>
              <w:spacing w:after="0" w:line="240"/>
            </w:pPr>
            <w:sdt>
              <w:sdtPr>
                <w:rPr>
                  <w:rFonts w:ascii="Segoe UI Symbol" w:eastAsia="MS Gothic" w:hAnsi="Segoe UI Symbol" w:cs="Segoe UI Symbol"/>
                  <w:sz w:val="20"/>
                  <w:szCs w:val="20"/>
                </w:rPr>
                <w:alias w:val="FDA No"/>
                <w:tag w:val="FDA_No"/>
                <w:id w:val="565287232"/>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No – explanation: </w:t>
            </w:r>
            <w:sdt>
              <w:sdtPr>
                <w:rPr>
                  <w:rFonts w:ascii="Times New Roman" w:cs="Times New Roman" w:eastAsia="Times New Roman" w:hAnsi="Times New Roman"/>
                  <w:sz w:val="20"/>
                  <w:szCs w:val="20"/>
                </w:rPr>
                <w:alias w:val="FDA No Explanation"/>
                <w:tag w:val="FDA_No_Explanation"/>
                <w:id w:val="200716248"/>
                <w:showingPlcHdr/>
                <w:text/>
              </w:sdtPr>
              <w:sdtContent>
                <w:r>
                  <w:rPr>
                    <w:rFonts w:ascii="Times New Roman" w:cs="Times New Roman" w:eastAsia="Times New Roman" w:hAnsi="Times New Roman"/>
                    <w:sz w:val="20"/>
                    <w:szCs w:val="20"/>
                  </w:rPr>
                  <w:t xml:space="preserve">   </w:t>
                </w:r>
              </w:sdtContent>
            </w:sdt>
          </w:p>
        </w:tc>
      </w:tr>
      <w:tr>
        <w:trPr>
          <w:trHeight w:val="1590" w:hRule="atLeast"/>
        </w:trPr>
        <w:tc>
          <w:tcPr>
            <w:tcW w:type="dxa" w:w="467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Describe technical and infrastructure capacity for pharma manufacturing </w:t>
            </w:r>
            <w:r>
              <w:rPr>
                <w:rFonts w:ascii="Times New Roman" w:cs="Times New Roman" w:eastAsia="Times New Roman" w:hAnsi="Times New Roman"/>
                <w:b/>
                <w:bCs/>
                <w:sz w:val="20"/>
                <w:szCs w:val="20"/>
              </w:rPr>
              <w:t xml:space="preserve">(</w:t>
            </w:r>
            <w:r>
              <w:rPr>
                <w:rFonts w:ascii="Times New Roman" w:cs="Times New Roman" w:eastAsia="Times New Roman" w:hAnsi="Times New Roman"/>
                <w:sz w:val="20"/>
                <w:szCs w:val="20"/>
              </w:rPr>
              <w:t xml:space="preserve">(1) a process flowchart of the key manufacturing steps. E.g. weighing, mixing, filling, labelling and final packaging as well as the in-process controls for the critical processes. (2) Production capacity e.g. 1000 L per batch etc.)</w:t>
            </w:r>
          </w:p>
        </w:tc>
        <w:tc>
          <w:tcPr>
            <w:tcW w:type="dxa" w:w="5408"/>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Technical Capacity"/>
              <w:tag w:val="Technical_Capacity"/>
              <w:id w:val="609206531"/>
              <w:showingPlcHdr/>
            </w:sdtPr>
            <w:sdtContent>
              <w:p>
                <w:pPr>
                  <w:spacing w:after="0" w:line="240"/>
                </w:pPr>
                <w:r>
                  <w:rPr>
                    <w:rFonts w:ascii="Times New Roman" w:cs="Times New Roman" w:eastAsia="Times New Roman" w:hAnsi="Times New Roman"/>
                    <w:sz w:val="20"/>
                    <w:szCs w:val="20"/>
                  </w:rPr>
                  <w:t xml:space="preserve">   </w:t>
                </w:r>
              </w:p>
            </w:sdtContent>
          </w:sdt>
        </w:tc>
      </w:tr>
    </w:tbl>
    <w:p>
      <w:pPr>
        <w:keepNext/>
        <w:spacing w:after="120" w:before="280"/>
      </w:pPr>
      <w:r>
        <w:rPr>
          <w:rFonts w:ascii="Aptos Display" w:cs="Aptos Display" w:eastAsia="Aptos Display" w:hAnsi="Aptos Display"/>
          <w:color w:val="0F4761"/>
          <w:sz w:val="40"/>
          <w:szCs w:val="40"/>
        </w:rPr>
        <w:t xml:space="preserve">3. Products Business Cases</w:t>
      </w:r>
    </w:p>
    <w:p>
      <w:pPr>
        <w:spacing w:after="560"/>
      </w:pPr>
      <w:r>
        <w:rPr>
          <w:rFonts w:ascii="Times New Roman" w:cs="Times New Roman" w:eastAsia="Times New Roman" w:hAnsi="Times New Roman"/>
          <w:sz w:val="20"/>
          <w:szCs w:val="20"/>
        </w:rPr>
        <w:t xml:space="preserve">If you seek specific product support, you may propose a maximum of three priority products for consideration. Present a business case for each product you seek support and describe the market opportunity, potential for growth, and how our advisory support would accelerate your expansion into other markets. If you do not seek specific product support, proceed to section 4 for service package selection.</w:t>
      </w:r>
    </w:p>
    <w:tbl>
      <w:tblPr>
        <w:tblW w:type="dxa" w:w="10082"/>
        <w:tblBorders>
          <w:top w:val="single" w:color="auto" w:sz="4"/>
          <w:left w:val="single" w:color="auto" w:sz="4"/>
          <w:bottom w:val="single" w:color="auto" w:sz="4"/>
          <w:right w:val="single" w:color="auto" w:sz="4"/>
          <w:insideH w:val="single" w:color="auto" w:sz="4"/>
          <w:insideV w:val="single" w:color="auto" w:sz="4"/>
        </w:tblBorders>
      </w:tblPr>
      <w:tblGrid>
        <w:gridCol w:w="3434"/>
        <w:gridCol w:w="2216"/>
        <w:gridCol w:w="2216"/>
        <w:gridCol w:w="2216"/>
      </w:tblGrid>
      <w:tr>
        <w:trPr>
          <w:trHeight w:val="436" w:hRule="atLeast"/>
        </w:trPr>
        <w:tc>
          <w:tcPr>
            <w:tcW w:type="dxa" w:w="3434"/>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Item</w:t>
            </w:r>
          </w:p>
        </w:tc>
        <w:tc>
          <w:tcPr>
            <w:tcW w:type="dxa" w:w="2216"/>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Product 1</w:t>
            </w:r>
          </w:p>
        </w:tc>
        <w:tc>
          <w:tcPr>
            <w:tcW w:type="dxa" w:w="2216"/>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Product 2</w:t>
            </w:r>
          </w:p>
        </w:tc>
        <w:tc>
          <w:tcPr>
            <w:tcW w:type="dxa" w:w="2216"/>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Product 3</w:t>
            </w:r>
          </w:p>
        </w:tc>
      </w:tr>
      <w:tr>
        <w:trPr>
          <w:trHeight w:val="442" w:hRule="atLeast"/>
        </w:trPr>
        <w:tc>
          <w:tcPr>
            <w:tcW w:type="dxa" w:w="3434"/>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Product Name</w:t>
            </w:r>
          </w:p>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1 Name"/>
              <w:tag w:val="P1_Name"/>
              <w:id w:val="287326128"/>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2 Name"/>
              <w:tag w:val="P2_Name"/>
              <w:id w:val="703369352"/>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3 Name"/>
              <w:tag w:val="P3_Name"/>
              <w:id w:val="475068801"/>
              <w:showingPlcHdr/>
            </w:sdtPr>
            <w:sdtContent>
              <w:p>
                <w:pPr>
                  <w:spacing w:after="0" w:line="240"/>
                </w:pPr>
                <w:r>
                  <w:rPr>
                    <w:rFonts w:ascii="Times New Roman" w:cs="Times New Roman" w:eastAsia="Times New Roman" w:hAnsi="Times New Roman"/>
                    <w:sz w:val="20"/>
                    <w:szCs w:val="20"/>
                  </w:rPr>
                  <w:t xml:space="preserve">   </w:t>
                </w:r>
              </w:p>
            </w:sdtContent>
          </w:sdt>
        </w:tc>
      </w:tr>
      <w:tr>
        <w:trPr>
          <w:trHeight w:val="440" w:hRule="atLeast"/>
        </w:trPr>
        <w:tc>
          <w:tcPr>
            <w:tcW w:type="dxa" w:w="3434"/>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Attach pictures (If possible)</w:t>
            </w:r>
          </w:p>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1 Pictures"/>
              <w:tag w:val="P1_Pictures"/>
              <w:id w:val="834299918"/>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2 Pictures"/>
              <w:tag w:val="P2_Pictures"/>
              <w:id w:val="681003229"/>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3 Pictures"/>
              <w:tag w:val="P3_Pictures"/>
              <w:id w:val="841302554"/>
              <w:showingPlcHdr/>
            </w:sdtPr>
            <w:sdtContent>
              <w:p>
                <w:pPr>
                  <w:spacing w:after="0" w:line="240"/>
                </w:pPr>
                <w:r>
                  <w:rPr>
                    <w:rFonts w:ascii="Times New Roman" w:cs="Times New Roman" w:eastAsia="Times New Roman" w:hAnsi="Times New Roman"/>
                    <w:sz w:val="20"/>
                    <w:szCs w:val="20"/>
                  </w:rPr>
                  <w:t xml:space="preserve">   </w:t>
                </w:r>
              </w:p>
            </w:sdtContent>
          </w:sdt>
        </w:tc>
      </w:tr>
      <w:tr>
        <w:trPr>
          <w:trHeight w:val="668" w:hRule="atLeast"/>
        </w:trPr>
        <w:tc>
          <w:tcPr>
            <w:tcW w:type="dxa" w:w="3434"/>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Product summary (max. two hundred words)</w:t>
            </w:r>
          </w:p>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1 Summary"/>
              <w:tag w:val="P1_Summary"/>
              <w:id w:val="876109139"/>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2 Summary"/>
              <w:tag w:val="P2_Summary"/>
              <w:id w:val="690412596"/>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3 Summary"/>
              <w:tag w:val="P3_Summary"/>
              <w:id w:val="413922040"/>
              <w:showingPlcHdr/>
            </w:sdtPr>
            <w:sdtContent>
              <w:p>
                <w:pPr>
                  <w:spacing w:after="0" w:line="240"/>
                </w:pPr>
                <w:r>
                  <w:rPr>
                    <w:rFonts w:ascii="Times New Roman" w:cs="Times New Roman" w:eastAsia="Times New Roman" w:hAnsi="Times New Roman"/>
                    <w:sz w:val="20"/>
                    <w:szCs w:val="20"/>
                  </w:rPr>
                  <w:t xml:space="preserve">   </w:t>
                </w:r>
              </w:p>
            </w:sdtContent>
          </w:sdt>
        </w:tc>
      </w:tr>
      <w:tr>
        <w:trPr>
          <w:trHeight w:val="1132" w:hRule="atLeast"/>
        </w:trPr>
        <w:tc>
          <w:tcPr>
            <w:tcW w:type="dxa" w:w="3434"/>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Development Stage (e.g., Concept, Formulation Development, Market Ready, Already Marketed) – max 200 words</w:t>
            </w:r>
          </w:p>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1 Dev Stage"/>
              <w:tag w:val="P1_Dev_Stage"/>
              <w:id w:val="745064094"/>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2 Dev Stage"/>
              <w:tag w:val="P2_Dev_Stage"/>
              <w:id w:val="842323254"/>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3 Dev Stage"/>
              <w:tag w:val="P3_Dev_Stage"/>
              <w:id w:val="812277708"/>
              <w:showingPlcHdr/>
            </w:sdtPr>
            <w:sdtContent>
              <w:p>
                <w:pPr>
                  <w:spacing w:after="0" w:line="240"/>
                </w:pPr>
                <w:r>
                  <w:rPr>
                    <w:rFonts w:ascii="Times New Roman" w:cs="Times New Roman" w:eastAsia="Times New Roman" w:hAnsi="Times New Roman"/>
                    <w:sz w:val="20"/>
                    <w:szCs w:val="20"/>
                  </w:rPr>
                  <w:t xml:space="preserve">   </w:t>
                </w:r>
              </w:p>
            </w:sdtContent>
          </w:sdt>
        </w:tc>
      </w:tr>
      <w:tr>
        <w:trPr>
          <w:trHeight w:val="900" w:hRule="atLeast"/>
        </w:trPr>
        <w:tc>
          <w:tcPr>
            <w:tcW w:type="dxa" w:w="3434"/>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Existing and planned technical capacity, e.g. infrastructure, equipment, staffing (max 200 words)</w:t>
            </w:r>
          </w:p>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1 Tech Capacity"/>
              <w:tag w:val="P1_Tech_Capacity"/>
              <w:id w:val="172923402"/>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2 Tech Capacity"/>
              <w:tag w:val="P2_Tech_Capacity"/>
              <w:id w:val="657098372"/>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3 Tech Capacity"/>
              <w:tag w:val="P3_Tech_Capacity"/>
              <w:id w:val="999698513"/>
              <w:showingPlcHdr/>
            </w:sdtPr>
            <w:sdtContent>
              <w:p>
                <w:pPr>
                  <w:spacing w:after="0" w:line="240"/>
                </w:pPr>
                <w:r>
                  <w:rPr>
                    <w:rFonts w:ascii="Times New Roman" w:cs="Times New Roman" w:eastAsia="Times New Roman" w:hAnsi="Times New Roman"/>
                    <w:sz w:val="20"/>
                    <w:szCs w:val="20"/>
                  </w:rPr>
                  <w:t xml:space="preserve">   </w:t>
                </w:r>
              </w:p>
            </w:sdtContent>
          </w:sdt>
        </w:tc>
      </w:tr>
      <w:tr>
        <w:trPr>
          <w:trHeight w:val="668" w:hRule="atLeast"/>
        </w:trPr>
        <w:tc>
          <w:tcPr>
            <w:tcW w:type="dxa" w:w="3434"/>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Existing and planned regulatory engagement (max 300 words)</w:t>
            </w:r>
          </w:p>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1 Regulatory"/>
              <w:tag w:val="P1_Regulatory"/>
              <w:id w:val="611833508"/>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2 Regulatory"/>
              <w:tag w:val="P2_Regulatory"/>
              <w:id w:val="463235018"/>
              <w:showingPlcHdr/>
            </w:sdtPr>
            <w:sdtContent>
              <w:p>
                <w:pPr>
                  <w:spacing w:after="0" w:line="240"/>
                </w:pPr>
                <w:r>
                  <w:rPr>
                    <w:rFonts w:ascii="Times New Roman" w:cs="Times New Roman" w:eastAsia="Times New Roman" w:hAnsi="Times New Roman"/>
                    <w:sz w:val="20"/>
                    <w:szCs w:val="20"/>
                  </w:rPr>
                  <w:t xml:space="preserve">   </w:t>
                </w:r>
              </w:p>
            </w:sdtContent>
          </w:sdt>
        </w:tc>
        <w:tc>
          <w:tcPr>
            <w:tcW w:type="dxa" w:w="2216"/>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sz w:val="20"/>
                <w:szCs w:val="20"/>
              </w:rPr>
              <w:alias w:val="P3 Regulatory"/>
              <w:tag w:val="P3_Regulatory"/>
              <w:id w:val="867192667"/>
              <w:showingPlcHdr/>
            </w:sdtPr>
            <w:sdtContent>
              <w:p>
                <w:pPr>
                  <w:spacing w:after="0" w:line="240"/>
                </w:pPr>
                <w:r>
                  <w:rPr>
                    <w:rFonts w:ascii="Times New Roman" w:cs="Times New Roman" w:eastAsia="Times New Roman" w:hAnsi="Times New Roman"/>
                    <w:sz w:val="20"/>
                    <w:szCs w:val="20"/>
                  </w:rPr>
                  <w:t xml:space="preserve">   </w:t>
                </w:r>
              </w:p>
            </w:sdtContent>
          </w:sdt>
        </w:tc>
      </w:tr>
    </w:tbl>
    <w:p>
      <w:pPr>
        <w:keepNext/>
        <w:pageBreakBefore/>
        <w:spacing w:after="120" w:before="0"/>
      </w:pPr>
      <w:r>
        <w:rPr>
          <w:rFonts w:ascii="Aptos Display" w:cs="Aptos Display" w:eastAsia="Aptos Display" w:hAnsi="Aptos Display"/>
          <w:color w:val="0F4761"/>
          <w:sz w:val="40"/>
          <w:szCs w:val="40"/>
        </w:rPr>
        <w:t xml:space="preserve">4. Support Requested</w:t>
      </w:r>
    </w:p>
    <w:p>
      <w:pPr>
        <w:spacing w:after="160" w:line="240"/>
      </w:pPr>
      <w:r>
        <w:rPr>
          <w:rFonts w:ascii="Times New Roman" w:cs="Times New Roman" w:eastAsia="Times New Roman" w:hAnsi="Times New Roman"/>
          <w:sz w:val="20"/>
          <w:szCs w:val="20"/>
        </w:rPr>
        <w:t xml:space="preserve">Select "Specific Topics of Need" most critical to advancing your business capacity to produce quality pharmaceutical or vaccine products for local and regional use. Please refer to the Applicant Information Pack for detailed descriptions of each service package. (You may choose any or all topics from one or more of the four service packages as needed)</w:t>
      </w:r>
    </w:p>
    <w:tbl>
      <w:tblPr>
        <w:tblW w:type="dxa" w:w="10082"/>
        <w:tblBorders>
          <w:top w:val="single" w:color="auto" w:sz="4"/>
          <w:left w:val="single" w:color="auto" w:sz="4"/>
          <w:bottom w:val="single" w:color="auto" w:sz="4"/>
          <w:right w:val="single" w:color="auto" w:sz="4"/>
          <w:insideH w:val="single" w:color="auto" w:sz="4"/>
          <w:insideV w:val="single" w:color="auto" w:sz="4"/>
        </w:tblBorders>
      </w:tblPr>
      <w:tblGrid>
        <w:gridCol w:w="3020"/>
        <w:gridCol w:w="4714"/>
        <w:gridCol w:w="2348"/>
      </w:tblGrid>
      <w:tr>
        <w:tc>
          <w:tcPr>
            <w:tcW w:type="dxa" w:w="3020"/>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Service Packages</w:t>
            </w:r>
          </w:p>
        </w:tc>
        <w:tc>
          <w:tcPr>
            <w:tcW w:type="dxa" w:w="4714"/>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Specific Topics of Need</w:t>
            </w:r>
          </w:p>
        </w:tc>
        <w:tc>
          <w:tcPr>
            <w:tcW w:type="dxa" w:w="2348"/>
            <w:tcBorders>
              <w:top w:val="single" w:color="999999" w:sz="4"/>
              <w:left w:val="single" w:color="999999" w:sz="4"/>
              <w:bottom w:val="single" w:color="999999" w:sz="4"/>
              <w:right w:val="single" w:color="999999" w:sz="4"/>
            </w:tcBorders>
            <w:shd w:fill="EDEDED" w:color="auto" w:val="clear"/>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Additional Topics Not Covered</w:t>
            </w:r>
          </w:p>
        </w:tc>
      </w:tr>
      <w:tr>
        <w:tc>
          <w:tcPr>
            <w:tcW w:type="dxa" w:w="3020"/>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1. Technical and Regulatory Support</w:t>
            </w:r>
          </w:p>
          <w:p>
            <w:pPr>
              <w:spacing w:after="0" w:line="240"/>
            </w:pPr>
            <w:r>
              <w:rPr>
                <w:rFonts w:ascii="Times New Roman" w:cs="Times New Roman" w:eastAsia="Times New Roman" w:hAnsi="Times New Roman"/>
                <w:i/>
                <w:iCs/>
                <w:sz w:val="20"/>
                <w:szCs w:val="20"/>
              </w:rPr>
              <w:t xml:space="preserve">(Good Manufacturing/Compounding Practices)</w:t>
            </w:r>
          </w:p>
        </w:tc>
        <w:tc>
          <w:tcPr>
            <w:tcW w:type="dxa" w:w="471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110" w:line="240"/>
            </w:pPr>
            <w:sdt>
              <w:sdtPr>
                <w:rPr>
                  <w:rFonts w:ascii="Segoe UI Symbol" w:eastAsia="MS Gothic" w:hAnsi="Segoe UI Symbol" w:cs="Segoe UI Symbol"/>
                  <w:sz w:val="20"/>
                  <w:szCs w:val="20"/>
                </w:rPr>
                <w:alias w:val="SP1 GMP"/>
                <w:tag w:val="SP1_GMP"/>
                <w:id w:val="930540625"/>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Good Compounding Practices (GCP)/GMP implementation and compliance</w:t>
            </w:r>
          </w:p>
          <w:p>
            <w:pPr>
              <w:spacing w:after="110" w:line="240"/>
            </w:pPr>
            <w:sdt>
              <w:sdtPr>
                <w:rPr>
                  <w:rFonts w:ascii="Segoe UI Symbol" w:eastAsia="MS Gothic" w:hAnsi="Segoe UI Symbol" w:cs="Segoe UI Symbol"/>
                  <w:sz w:val="20"/>
                  <w:szCs w:val="20"/>
                </w:rPr>
                <w:alias w:val="SP1 Licensing"/>
                <w:tag w:val="SP1_Licensing"/>
                <w:id w:val="279832246"/>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Licensing with national regulatory authorities</w:t>
            </w:r>
          </w:p>
          <w:p>
            <w:pPr>
              <w:spacing w:after="110" w:line="240"/>
            </w:pPr>
            <w:sdt>
              <w:sdtPr>
                <w:rPr>
                  <w:rFonts w:ascii="Segoe UI Symbol" w:eastAsia="MS Gothic" w:hAnsi="Segoe UI Symbol" w:cs="Segoe UI Symbol"/>
                  <w:sz w:val="20"/>
                  <w:szCs w:val="20"/>
                </w:rPr>
                <w:alias w:val="SP1 Process Design"/>
                <w:tag w:val="SP1_Process_Design"/>
                <w:id w:val="409129610"/>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Process design and workflow optimization</w:t>
            </w:r>
          </w:p>
          <w:p>
            <w:pPr>
              <w:spacing w:after="110" w:line="240"/>
            </w:pPr>
            <w:sdt>
              <w:sdtPr>
                <w:rPr>
                  <w:rFonts w:ascii="Segoe UI Symbol" w:eastAsia="MS Gothic" w:hAnsi="Segoe UI Symbol" w:cs="Segoe UI Symbol"/>
                  <w:sz w:val="20"/>
                  <w:szCs w:val="20"/>
                </w:rPr>
                <w:alias w:val="SP1 Product Dev"/>
                <w:tag w:val="SP1_Product_Dev"/>
                <w:id w:val="999007209"/>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Product development, quality assessment evaluations</w:t>
            </w:r>
          </w:p>
          <w:p>
            <w:pPr>
              <w:spacing w:after="120" w:line="240"/>
            </w:pPr>
            <w:sdt>
              <w:sdtPr>
                <w:rPr>
                  <w:rFonts w:ascii="Segoe UI Symbol" w:eastAsia="MS Gothic" w:hAnsi="Segoe UI Symbol" w:cs="Segoe UI Symbol"/>
                  <w:sz w:val="20"/>
                  <w:szCs w:val="20"/>
                </w:rPr>
                <w:alias w:val="SP1 Risk Assessment"/>
                <w:tag w:val="SP1_Risk_Assessment"/>
                <w:id w:val="119724749"/>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Risk assessment, risk analysis, data-driven product evaluation and post-market surveillance design</w:t>
            </w:r>
          </w:p>
        </w:tc>
        <w:tc>
          <w:tcPr>
            <w:tcW w:type="dxa" w:w="2348"/>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i/>
                <w:iCs/>
                <w:sz w:val="20"/>
                <w:szCs w:val="20"/>
              </w:rPr>
              <w:alias w:val="SP1 Additional"/>
              <w:tag w:val="SP1_Additional"/>
              <w:id w:val="519959969"/>
              <w:showingPlcHdr/>
            </w:sdtPr>
            <w:sdtContent>
              <w:p>
                <w:pPr>
                  <w:spacing w:after="0" w:line="240"/>
                </w:pPr>
                <w:r>
                  <w:rPr>
                    <w:rFonts w:ascii="Times New Roman" w:cs="Times New Roman" w:eastAsia="Times New Roman" w:hAnsi="Times New Roman"/>
                    <w:i/>
                    <w:iCs/>
                    <w:sz w:val="20"/>
                    <w:szCs w:val="20"/>
                  </w:rPr>
                  <w:t xml:space="preserve">[Add topics or priority under this service package not covered here]</w:t>
                </w:r>
              </w:p>
            </w:sdtContent>
          </w:sdt>
        </w:tc>
      </w:tr>
      <w:tr>
        <w:tc>
          <w:tcPr>
            <w:tcW w:type="dxa" w:w="3020"/>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2. Standard Operating Procedures</w:t>
            </w:r>
          </w:p>
          <w:p>
            <w:pPr>
              <w:spacing w:after="0" w:line="240"/>
            </w:pPr>
            <w:r>
              <w:rPr>
                <w:rFonts w:ascii="Times New Roman" w:cs="Times New Roman" w:eastAsia="Times New Roman" w:hAnsi="Times New Roman"/>
                <w:i/>
                <w:iCs/>
                <w:sz w:val="20"/>
                <w:szCs w:val="20"/>
              </w:rPr>
              <w:t xml:space="preserve">(Documentation Systems, Quality Management Systems)</w:t>
            </w:r>
          </w:p>
        </w:tc>
        <w:tc>
          <w:tcPr>
            <w:tcW w:type="dxa" w:w="471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110" w:line="240"/>
            </w:pPr>
            <w:sdt>
              <w:sdtPr>
                <w:rPr>
                  <w:rFonts w:ascii="Segoe UI Symbol" w:eastAsia="MS Gothic" w:hAnsi="Segoe UI Symbol" w:cs="Segoe UI Symbol"/>
                  <w:sz w:val="20"/>
                  <w:szCs w:val="20"/>
                </w:rPr>
                <w:alias w:val="SP2 SOPs"/>
                <w:tag w:val="SP2_SOPs"/>
                <w:id w:val="332061585"/>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Development and standardization of Standard Operating Procedures (SOPs)</w:t>
            </w:r>
          </w:p>
          <w:p>
            <w:pPr>
              <w:spacing w:after="110" w:line="240"/>
            </w:pPr>
            <w:sdt>
              <w:sdtPr>
                <w:rPr>
                  <w:rFonts w:ascii="Segoe UI Symbol" w:eastAsia="MS Gothic" w:hAnsi="Segoe UI Symbol" w:cs="Segoe UI Symbol"/>
                  <w:sz w:val="20"/>
                  <w:szCs w:val="20"/>
                </w:rPr>
                <w:alias w:val="SP2 Documentation"/>
                <w:tag w:val="SP2_Documentation"/>
                <w:id w:val="183940485"/>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Documentation systems and records management</w:t>
            </w:r>
          </w:p>
          <w:p>
            <w:pPr>
              <w:spacing w:after="110" w:line="240"/>
            </w:pPr>
            <w:sdt>
              <w:sdtPr>
                <w:rPr>
                  <w:rFonts w:ascii="Segoe UI Symbol" w:eastAsia="MS Gothic" w:hAnsi="Segoe UI Symbol" w:cs="Segoe UI Symbol"/>
                  <w:sz w:val="20"/>
                  <w:szCs w:val="20"/>
                </w:rPr>
                <w:alias w:val="SP2 QMS"/>
                <w:tag w:val="SP2_QMS"/>
                <w:id w:val="999423708"/>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Quality Management Systems (QMS) design and implementation</w:t>
            </w:r>
          </w:p>
          <w:p>
            <w:pPr>
              <w:spacing w:after="120" w:line="240"/>
            </w:pPr>
            <w:sdt>
              <w:sdtPr>
                <w:rPr>
                  <w:rFonts w:ascii="Segoe UI Symbol" w:eastAsia="MS Gothic" w:hAnsi="Segoe UI Symbol" w:cs="Segoe UI Symbol"/>
                  <w:sz w:val="20"/>
                  <w:szCs w:val="20"/>
                </w:rPr>
                <w:alias w:val="SP2 Internal Audit"/>
                <w:tag w:val="SP2_Internal_Audit"/>
                <w:id w:val="794375013"/>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Continuous improvement and internal audit processes</w:t>
            </w:r>
          </w:p>
        </w:tc>
        <w:tc>
          <w:tcPr>
            <w:tcW w:type="dxa" w:w="2348"/>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i/>
                <w:iCs/>
                <w:sz w:val="20"/>
                <w:szCs w:val="20"/>
              </w:rPr>
              <w:alias w:val="SP2 Additional"/>
              <w:tag w:val="SP2_Additional"/>
              <w:id w:val="137056637"/>
              <w:showingPlcHdr/>
            </w:sdtPr>
            <w:sdtContent>
              <w:p>
                <w:pPr>
                  <w:spacing w:after="0" w:line="240"/>
                </w:pPr>
                <w:r>
                  <w:rPr>
                    <w:rFonts w:ascii="Times New Roman" w:cs="Times New Roman" w:eastAsia="Times New Roman" w:hAnsi="Times New Roman"/>
                    <w:i/>
                    <w:iCs/>
                    <w:sz w:val="20"/>
                    <w:szCs w:val="20"/>
                  </w:rPr>
                  <w:t xml:space="preserve">[Add topics or priority under this service package not covered here]</w:t>
                </w:r>
              </w:p>
            </w:sdtContent>
          </w:sdt>
        </w:tc>
      </w:tr>
      <w:tr>
        <w:tc>
          <w:tcPr>
            <w:tcW w:type="dxa" w:w="3020"/>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3. Product Registration Support</w:t>
            </w:r>
          </w:p>
        </w:tc>
        <w:tc>
          <w:tcPr>
            <w:tcW w:type="dxa" w:w="471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110" w:line="240"/>
            </w:pPr>
            <w:sdt>
              <w:sdtPr>
                <w:rPr>
                  <w:rFonts w:ascii="Segoe UI Symbol" w:eastAsia="MS Gothic" w:hAnsi="Segoe UI Symbol" w:cs="Segoe UI Symbol"/>
                  <w:sz w:val="20"/>
                  <w:szCs w:val="20"/>
                </w:rPr>
                <w:alias w:val="SP3 Dossier"/>
                <w:tag w:val="SP3_Dossier"/>
                <w:id w:val="601682323"/>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Product registration and dossier preparation support</w:t>
            </w:r>
          </w:p>
          <w:p>
            <w:pPr>
              <w:spacing w:after="120" w:line="240"/>
            </w:pPr>
            <w:sdt>
              <w:sdtPr>
                <w:rPr>
                  <w:rFonts w:ascii="Segoe UI Symbol" w:eastAsia="MS Gothic" w:hAnsi="Segoe UI Symbol" w:cs="Segoe UI Symbol"/>
                  <w:sz w:val="20"/>
                  <w:szCs w:val="20"/>
                </w:rPr>
                <w:alias w:val="SP3 Regulatory Submission"/>
                <w:tag w:val="SP3_Regulatory_Submission"/>
                <w:id w:val="144837437"/>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Support navigating national regulatory submission processes such as packaging and marketing etc.</w:t>
            </w:r>
          </w:p>
        </w:tc>
        <w:tc>
          <w:tcPr>
            <w:tcW w:type="dxa" w:w="2348"/>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i/>
                <w:iCs/>
                <w:sz w:val="20"/>
                <w:szCs w:val="20"/>
              </w:rPr>
              <w:alias w:val="SP3 Additional"/>
              <w:tag w:val="SP3_Additional"/>
              <w:id w:val="334921246"/>
              <w:showingPlcHdr/>
            </w:sdtPr>
            <w:sdtContent>
              <w:p>
                <w:pPr>
                  <w:spacing w:after="0" w:line="240"/>
                </w:pPr>
                <w:r>
                  <w:rPr>
                    <w:rFonts w:ascii="Times New Roman" w:cs="Times New Roman" w:eastAsia="Times New Roman" w:hAnsi="Times New Roman"/>
                    <w:i/>
                    <w:iCs/>
                    <w:sz w:val="20"/>
                    <w:szCs w:val="20"/>
                  </w:rPr>
                  <w:t xml:space="preserve">[Add topics or priority under this service package not covered here]</w:t>
                </w:r>
              </w:p>
            </w:sdtContent>
          </w:sdt>
        </w:tc>
      </w:tr>
      <w:tr>
        <w:tc>
          <w:tcPr>
            <w:tcW w:type="dxa" w:w="3020"/>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0" w:line="240"/>
            </w:pPr>
            <w:r>
              <w:rPr>
                <w:rFonts w:ascii="Times New Roman" w:cs="Times New Roman" w:eastAsia="Times New Roman" w:hAnsi="Times New Roman"/>
                <w:b/>
                <w:bCs/>
                <w:sz w:val="20"/>
                <w:szCs w:val="20"/>
              </w:rPr>
              <w:t xml:space="preserve">4. Human Resource Management, Succession Planning and Efficiency in Operations</w:t>
            </w:r>
          </w:p>
        </w:tc>
        <w:tc>
          <w:tcPr>
            <w:tcW w:type="dxa" w:w="4714"/>
            <w:tcBorders>
              <w:top w:val="single" w:color="999999" w:sz="4"/>
              <w:left w:val="single" w:color="999999" w:sz="4"/>
              <w:bottom w:val="single" w:color="999999" w:sz="4"/>
              <w:right w:val="single" w:color="999999" w:sz="4"/>
            </w:tcBorders>
            <w:tcMar>
              <w:top w:type="dxa" w:w="100"/>
              <w:left w:type="dxa" w:w="110"/>
              <w:bottom w:type="dxa" w:w="100"/>
              <w:right w:type="dxa" w:w="110"/>
            </w:tcMar>
          </w:tcPr>
          <w:p>
            <w:pPr>
              <w:spacing w:after="110" w:line="240"/>
            </w:pPr>
            <w:sdt>
              <w:sdtPr>
                <w:rPr>
                  <w:rFonts w:ascii="Segoe UI Symbol" w:eastAsia="MS Gothic" w:hAnsi="Segoe UI Symbol" w:cs="Segoe UI Symbol"/>
                  <w:sz w:val="20"/>
                  <w:szCs w:val="20"/>
                </w:rPr>
                <w:alias w:val="SP4 HR Systems"/>
                <w:tag w:val="SP4_HR_Systems"/>
                <w:id w:val="572158538"/>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Human resource management systems and capacity building</w:t>
            </w:r>
          </w:p>
          <w:p>
            <w:pPr>
              <w:spacing w:after="110" w:line="240"/>
            </w:pPr>
            <w:sdt>
              <w:sdtPr>
                <w:rPr>
                  <w:rFonts w:ascii="Segoe UI Symbol" w:eastAsia="MS Gothic" w:hAnsi="Segoe UI Symbol" w:cs="Segoe UI Symbol"/>
                  <w:sz w:val="20"/>
                  <w:szCs w:val="20"/>
                </w:rPr>
                <w:alias w:val="SP4 Succession"/>
                <w:tag w:val="SP4_Succession"/>
                <w:id w:val="133072434"/>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Succession planning and leadership development</w:t>
            </w:r>
          </w:p>
          <w:p>
            <w:pPr>
              <w:spacing w:after="110" w:line="240"/>
            </w:pPr>
            <w:sdt>
              <w:sdtPr>
                <w:rPr>
                  <w:rFonts w:ascii="Segoe UI Symbol" w:eastAsia="MS Gothic" w:hAnsi="Segoe UI Symbol" w:cs="Segoe UI Symbol"/>
                  <w:sz w:val="20"/>
                  <w:szCs w:val="20"/>
                </w:rPr>
                <w:alias w:val="SP4 Efficiency"/>
                <w:tag w:val="SP4_Efficiency"/>
                <w:id w:val="263958633"/>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Operational efficiency review and productivity improvement</w:t>
            </w:r>
          </w:p>
          <w:p>
            <w:pPr>
              <w:spacing w:after="120" w:line="240"/>
            </w:pPr>
            <w:sdt>
              <w:sdtPr>
                <w:rPr>
                  <w:rFonts w:ascii="Segoe UI Symbol" w:eastAsia="MS Gothic" w:hAnsi="Segoe UI Symbol" w:cs="Segoe UI Symbol"/>
                  <w:sz w:val="20"/>
                  <w:szCs w:val="20"/>
                </w:rPr>
                <w:alias w:val="SP4 Human Capital"/>
                <w:tag w:val="SP4_Human_Capital"/>
                <w:id w:val="829020412"/>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Human capital assessment, diversity, equity and engagement</w:t>
            </w:r>
          </w:p>
        </w:tc>
        <w:tc>
          <w:tcPr>
            <w:tcW w:type="dxa" w:w="2348"/>
            <w:tcBorders>
              <w:top w:val="single" w:color="999999" w:sz="4"/>
              <w:left w:val="single" w:color="999999" w:sz="4"/>
              <w:bottom w:val="single" w:color="999999" w:sz="4"/>
              <w:right w:val="single" w:color="999999" w:sz="4"/>
            </w:tcBorders>
            <w:tcMar>
              <w:top w:type="dxa" w:w="100"/>
              <w:left w:type="dxa" w:w="110"/>
              <w:bottom w:type="dxa" w:w="100"/>
              <w:right w:type="dxa" w:w="110"/>
            </w:tcMar>
          </w:tcPr>
          <w:sdt>
            <w:sdtPr>
              <w:rPr>
                <w:rFonts w:ascii="Times New Roman" w:cs="Times New Roman" w:eastAsia="Times New Roman" w:hAnsi="Times New Roman"/>
                <w:i/>
                <w:iCs/>
                <w:sz w:val="20"/>
                <w:szCs w:val="20"/>
              </w:rPr>
              <w:alias w:val="SP4 Additional"/>
              <w:tag w:val="SP4_Additional"/>
              <w:id w:val="713283894"/>
              <w:showingPlcHdr/>
            </w:sdtPr>
            <w:sdtContent>
              <w:p>
                <w:pPr>
                  <w:spacing w:after="0" w:line="240"/>
                </w:pPr>
                <w:r>
                  <w:rPr>
                    <w:rFonts w:ascii="Times New Roman" w:cs="Times New Roman" w:eastAsia="Times New Roman" w:hAnsi="Times New Roman"/>
                    <w:i/>
                    <w:iCs/>
                    <w:sz w:val="20"/>
                    <w:szCs w:val="20"/>
                  </w:rPr>
                  <w:t xml:space="preserve">[Add topics or priority under this service package not covered here]</w:t>
                </w:r>
              </w:p>
            </w:sdtContent>
          </w:sdt>
        </w:tc>
      </w:tr>
    </w:tbl>
    <w:p>
      <w:pPr>
        <w:keepNext/>
        <w:spacing w:after="120" w:before="200"/>
      </w:pPr>
      <w:r>
        <w:rPr>
          <w:rFonts w:ascii="Aptos Display" w:cs="Aptos Display" w:eastAsia="Aptos Display" w:hAnsi="Aptos Display"/>
          <w:color w:val="0F4761"/>
          <w:sz w:val="40"/>
          <w:szCs w:val="40"/>
        </w:rPr>
        <w:t xml:space="preserve">5. Company Commitment</w:t>
      </w:r>
    </w:p>
    <w:p>
      <w:pPr>
        <w:spacing w:after="160" w:line="240"/>
      </w:pPr>
      <w:r>
        <w:rPr>
          <w:rFonts w:ascii="Times New Roman" w:cs="Times New Roman" w:eastAsia="Times New Roman" w:hAnsi="Times New Roman"/>
          <w:sz w:val="20"/>
          <w:szCs w:val="20"/>
        </w:rPr>
        <w:t xml:space="preserve">By participating in this call for application, selected companies must commit to an 18-month partnership with the service advisory team. This commitment will be formalized in a Memorandum of Understanding (MoU) to be jointly agreed between Luvent and the company. All service packages provided under this MoU are free of charge. Applicants are expected to substantiate their own contributions (e.g. staff time, access to facilities, rooms, and running costs for in-company trainings, staff transport etc.) and levels of engagement under section 7 (which carries 25% of evaluation criteria).</w:t>
      </w:r>
    </w:p>
    <w:p>
      <w:pPr>
        <w:keepNext/>
        <w:pageBreakBefore/>
        <w:spacing w:after="120" w:before="0"/>
      </w:pPr>
      <w:r>
        <w:rPr>
          <w:rFonts w:ascii="Aptos Display" w:cs="Aptos Display" w:eastAsia="Aptos Display" w:hAnsi="Aptos Display"/>
          <w:color w:val="0F4761"/>
          <w:sz w:val="40"/>
          <w:szCs w:val="40"/>
        </w:rPr>
        <w:t xml:space="preserve">6. Declaration</w:t>
      </w:r>
    </w:p>
    <w:p>
      <w:pPr>
        <w:spacing w:after="120"/>
      </w:pPr>
      <w:r>
        <w:rPr>
          <w:rFonts w:ascii="Times New Roman" w:cs="Times New Roman" w:eastAsia="Times New Roman" w:hAnsi="Times New Roman"/>
          <w:sz w:val="20"/>
          <w:szCs w:val="20"/>
        </w:rPr>
        <w:t xml:space="preserve">By signing below, our company understands and commits to the following requirements for successful participation in the PharmaVax Ghana Programme:</w:t>
      </w:r>
    </w:p>
    <w:p>
      <w:pPr>
        <w:spacing w:after="120" w:line="240"/>
      </w:pPr>
      <w:sdt>
        <w:sdtPr>
          <w:rPr>
            <w:rFonts w:ascii="Segoe UI Symbol" w:eastAsia="MS Gothic" w:hAnsi="Segoe UI Symbol" w:cs="Segoe UI Symbol"/>
            <w:sz w:val="20"/>
            <w:szCs w:val="20"/>
          </w:rPr>
          <w:alias w:val="Decl Resources"/>
          <w:tag w:val="Decl_Resources"/>
          <w:id w:val="427614259"/>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Company Resource allocation: We commit to providing adequate infrastructure, equipment, assigned personnel, and staff time as required for the agreed upon activities.</w:t>
      </w:r>
    </w:p>
    <w:p>
      <w:pPr>
        <w:spacing w:after="120" w:line="240"/>
      </w:pPr>
      <w:sdt>
        <w:sdtPr>
          <w:rPr>
            <w:rFonts w:ascii="Segoe UI Symbol" w:eastAsia="MS Gothic" w:hAnsi="Segoe UI Symbol" w:cs="Segoe UI Symbol"/>
            <w:sz w:val="20"/>
            <w:szCs w:val="20"/>
          </w:rPr>
          <w:alias w:val="Decl Ethics"/>
          <w:tag w:val="Decl_Ethics"/>
          <w:id w:val="971874559"/>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Ethical Standards: We affirm that our team members will uphold the highest professional ethical standards, including avoiding conflicts of interest and promoting sustainability.</w:t>
      </w:r>
    </w:p>
    <w:p>
      <w:pPr>
        <w:spacing w:after="120" w:line="240"/>
      </w:pPr>
      <w:sdt>
        <w:sdtPr>
          <w:rPr>
            <w:rFonts w:ascii="Segoe UI Symbol" w:eastAsia="MS Gothic" w:hAnsi="Segoe UI Symbol" w:cs="Segoe UI Symbol"/>
            <w:sz w:val="20"/>
            <w:szCs w:val="20"/>
          </w:rPr>
          <w:alias w:val="Decl Confidentiality"/>
          <w:tag w:val="Decl_Confidentiality"/>
          <w:id w:val="176625430"/>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Confidentiality: We agree to treat all shared information as confidential and will not disclose it to any third party without written consent.</w:t>
      </w:r>
    </w:p>
    <w:p>
      <w:pPr>
        <w:spacing w:after="120" w:line="240"/>
      </w:pPr>
      <w:sdt>
        <w:sdtPr>
          <w:rPr>
            <w:rFonts w:ascii="Segoe UI Symbol" w:eastAsia="MS Gothic" w:hAnsi="Segoe UI Symbol" w:cs="Segoe UI Symbol"/>
            <w:sz w:val="20"/>
            <w:szCs w:val="20"/>
          </w:rPr>
          <w:alias w:val="Decl Partnership"/>
          <w:tag w:val="Decl_Partnership"/>
          <w:id w:val="155752381"/>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Partnership: We commit to collaborating in good faith and will commit to a Memorandum of Understanding (MOU) to formalize the scope, timeline, and deliverables of the support.</w:t>
      </w:r>
    </w:p>
    <w:p>
      <w:pPr>
        <w:spacing w:after="120" w:line="240"/>
      </w:pPr>
      <w:sdt>
        <w:sdtPr>
          <w:rPr>
            <w:rFonts w:ascii="Segoe UI Symbol" w:eastAsia="MS Gothic" w:hAnsi="Segoe UI Symbol" w:cs="Segoe UI Symbol"/>
            <w:sz w:val="20"/>
            <w:szCs w:val="20"/>
          </w:rPr>
          <w:alias w:val="Decl Financial Transparency"/>
          <w:tag w:val="Decl_Financial_Transparency"/>
          <w:id w:val="983949269"/>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Information sharing and financial transparency – we commit to share information and financial reports (income, balance, cash flows), when necessary.</w:t>
      </w:r>
    </w:p>
    <w:p>
      <w:pPr>
        <w:keepNext/>
        <w:spacing w:after="120" w:before="1300"/>
      </w:pPr>
      <w:r>
        <w:rPr>
          <w:rFonts w:ascii="Aptos Display" w:cs="Aptos Display" w:eastAsia="Aptos Display" w:hAnsi="Aptos Display"/>
          <w:color w:val="0F4761"/>
          <w:sz w:val="40"/>
          <w:szCs w:val="40"/>
        </w:rPr>
        <w:t xml:space="preserve">7. Describe Your Company's Contribution to the Project</w:t>
      </w:r>
    </w:p>
    <w:sdt>
      <w:sdtPr>
        <w:rPr>
          <w:rFonts w:ascii="Times New Roman" w:cs="Times New Roman" w:eastAsia="Times New Roman" w:hAnsi="Times New Roman"/>
          <w:sz w:val="20"/>
          <w:szCs w:val="20"/>
        </w:rPr>
        <w:alias w:val="Company Contribution"/>
        <w:tag w:val="Company_Contribution"/>
        <w:id w:val="815569004"/>
        <w:showingPlcHdr/>
      </w:sdtPr>
      <w:sdtContent>
        <w:p>
          <w:pPr>
            <w:spacing w:after="0" w:line="240"/>
          </w:pPr>
          <w:r>
            <w:rPr>
              <w:rFonts w:ascii="Times New Roman" w:cs="Times New Roman" w:eastAsia="Times New Roman" w:hAnsi="Times New Roman"/>
              <w:sz w:val="20"/>
              <w:szCs w:val="20"/>
            </w:rPr>
            <w:t xml:space="preserve">   </w:t>
          </w:r>
        </w:p>
      </w:sdtContent>
    </w:sdt>
    <w:p>
      <w:pPr>
        <w:pBdr>
          <w:bottom w:val="single" w:color="BFBFBF" w:sz="4" w:space="1"/>
        </w:pBdr>
        <w:spacing w:after="400" w:before="1650"/>
      </w:pPr>
    </w:p>
    <w:p>
      <w:pPr>
        <w:spacing w:after="120"/>
      </w:pPr>
      <w:r>
        <w:rPr>
          <w:rFonts w:ascii="Times New Roman" w:cs="Times New Roman" w:eastAsia="Times New Roman" w:hAnsi="Times New Roman"/>
          <w:b/>
          <w:bCs/>
          <w:sz w:val="20"/>
          <w:szCs w:val="20"/>
        </w:rPr>
        <w:t xml:space="preserve">Signature by CEO/Chairperson of the company:</w:t>
      </w:r>
    </w:p>
    <w:p>
      <w:pPr>
        <w:tabs>
          <w:tab w:val="left" w:pos="720"/>
        </w:tabs>
        <w:spacing w:after="120" w:line="240"/>
      </w:pPr>
      <w:r>
        <w:rPr>
          <w:rFonts w:ascii="Times New Roman" w:cs="Times New Roman" w:eastAsia="Times New Roman" w:hAnsi="Times New Roman"/>
          <w:sz w:val="20"/>
          <w:szCs w:val="20"/>
        </w:rPr>
        <w:t xml:space="preserve">Name:</w:t>
      </w:r>
      <w:r>
        <w:rPr>
          <w:rFonts w:ascii="Times New Roman" w:cs="Times New Roman" w:eastAsia="Times New Roman" w:hAnsi="Times New Roman"/>
          <w:sz w:val="20"/>
          <w:szCs w:val="20"/>
        </w:rPr>
        <w:t xml:space="preserve">	</w:t>
      </w:r>
      <w:sdt>
        <w:sdtPr>
          <w:rPr>
            <w:rFonts w:ascii="Times New Roman" w:cs="Times New Roman" w:eastAsia="Times New Roman" w:hAnsi="Times New Roman"/>
            <w:sz w:val="20"/>
            <w:szCs w:val="20"/>
          </w:rPr>
          <w:alias w:val="Sign Name"/>
          <w:tag w:val="Sign_Name"/>
          <w:id w:val="921901743"/>
          <w:showingPlcHdr/>
          <w:text/>
        </w:sdtPr>
        <w:sdtContent>
          <w:r>
            <w:rPr>
              <w:rFonts w:ascii="Times New Roman" w:cs="Times New Roman" w:eastAsia="Times New Roman" w:hAnsi="Times New Roman"/>
              <w:sz w:val="20"/>
              <w:szCs w:val="20"/>
            </w:rPr>
            <w:t xml:space="preserve">_________________________</w:t>
          </w:r>
        </w:sdtContent>
      </w:sdt>
    </w:p>
    <w:p>
      <w:pPr>
        <w:tabs>
          <w:tab w:val="left" w:pos="1440"/>
        </w:tabs>
        <w:spacing w:after="120" w:line="240"/>
      </w:pPr>
      <w:r>
        <w:rPr>
          <w:rFonts w:ascii="Times New Roman" w:cs="Times New Roman" w:eastAsia="Times New Roman" w:hAnsi="Times New Roman"/>
          <w:sz w:val="20"/>
          <w:szCs w:val="20"/>
        </w:rPr>
        <w:t xml:space="preserve">Title:</w:t>
      </w:r>
      <w:r>
        <w:rPr>
          <w:rFonts w:ascii="Times New Roman" w:cs="Times New Roman" w:eastAsia="Times New Roman" w:hAnsi="Times New Roman"/>
          <w:sz w:val="20"/>
          <w:szCs w:val="20"/>
        </w:rPr>
        <w:t xml:space="preserve">	</w:t>
      </w:r>
      <w:sdt>
        <w:sdtPr>
          <w:rPr>
            <w:rFonts w:ascii="Times New Roman" w:cs="Times New Roman" w:eastAsia="Times New Roman" w:hAnsi="Times New Roman"/>
            <w:sz w:val="20"/>
            <w:szCs w:val="20"/>
          </w:rPr>
          <w:alias w:val="Sign Title"/>
          <w:tag w:val="Sign_Title"/>
          <w:id w:val="792198339"/>
          <w:showingPlcHdr/>
          <w:text/>
        </w:sdtPr>
        <w:sdtContent>
          <w:r>
            <w:rPr>
              <w:rFonts w:ascii="Times New Roman" w:cs="Times New Roman" w:eastAsia="Times New Roman" w:hAnsi="Times New Roman"/>
              <w:sz w:val="20"/>
              <w:szCs w:val="20"/>
            </w:rPr>
            <w:t xml:space="preserve">_________________________</w:t>
          </w:r>
        </w:sdtContent>
      </w:sdt>
    </w:p>
    <w:p>
      <w:pPr>
        <w:tabs>
          <w:tab w:val="left" w:pos="1440"/>
        </w:tabs>
        <w:spacing w:after="120" w:line="240"/>
      </w:pPr>
      <w:r>
        <w:rPr>
          <w:rFonts w:ascii="Times New Roman" w:cs="Times New Roman" w:eastAsia="Times New Roman" w:hAnsi="Times New Roman"/>
          <w:sz w:val="20"/>
          <w:szCs w:val="20"/>
        </w:rPr>
        <w:t xml:space="preserve">Date:</w:t>
      </w:r>
      <w:r>
        <w:rPr>
          <w:rFonts w:ascii="Times New Roman" w:cs="Times New Roman" w:eastAsia="Times New Roman" w:hAnsi="Times New Roman"/>
          <w:sz w:val="20"/>
          <w:szCs w:val="20"/>
        </w:rPr>
        <w:t xml:space="preserve">	</w:t>
      </w:r>
      <w:sdt>
        <w:sdtPr>
          <w:rPr>
            <w:rFonts w:ascii="Times New Roman" w:cs="Times New Roman" w:eastAsia="Times New Roman" w:hAnsi="Times New Roman"/>
            <w:sz w:val="20"/>
            <w:szCs w:val="20"/>
          </w:rPr>
          <w:alias w:val="Sign Date"/>
          <w:tag w:val="Sign_Date"/>
          <w:id w:val="425988327"/>
          <w:showingPlcHdr/>
          <w:text/>
        </w:sdtPr>
        <w:sdtContent>
          <w:r>
            <w:rPr>
              <w:rFonts w:ascii="Times New Roman" w:cs="Times New Roman" w:eastAsia="Times New Roman" w:hAnsi="Times New Roman"/>
              <w:sz w:val="20"/>
              <w:szCs w:val="20"/>
            </w:rPr>
            <w:t xml:space="preserve">_________________________</w:t>
          </w:r>
        </w:sdtContent>
      </w:sdt>
    </w:p>
    <w:p>
      <w:pPr>
        <w:tabs>
          <w:tab w:val="left" w:pos="1440"/>
        </w:tabs>
        <w:spacing w:after="120" w:line="240"/>
      </w:pPr>
      <w:r>
        <w:rPr>
          <w:rFonts w:ascii="Times New Roman" w:cs="Times New Roman" w:eastAsia="Times New Roman" w:hAnsi="Times New Roman"/>
          <w:sz w:val="20"/>
          <w:szCs w:val="20"/>
        </w:rPr>
        <w:t xml:space="preserve">Signature:</w:t>
      </w:r>
      <w:r>
        <w:rPr>
          <w:rFonts w:ascii="Times New Roman" w:cs="Times New Roman" w:eastAsia="Times New Roman" w:hAnsi="Times New Roman"/>
          <w:sz w:val="20"/>
          <w:szCs w:val="20"/>
        </w:rPr>
        <w:t xml:space="preserve">	</w:t>
      </w:r>
      <w:sdt>
        <w:sdtPr>
          <w:rPr>
            <w:rFonts w:ascii="Times New Roman" w:cs="Times New Roman" w:eastAsia="Times New Roman" w:hAnsi="Times New Roman"/>
            <w:sz w:val="20"/>
            <w:szCs w:val="20"/>
          </w:rPr>
          <w:alias w:val="Sign Signature"/>
          <w:tag w:val="Sign_Signature"/>
          <w:id w:val="800538509"/>
          <w:showingPlcHdr/>
          <w:text/>
        </w:sdtPr>
        <w:sdtContent>
          <w:r>
            <w:rPr>
              <w:rFonts w:ascii="Times New Roman" w:cs="Times New Roman" w:eastAsia="Times New Roman" w:hAnsi="Times New Roman"/>
              <w:sz w:val="20"/>
              <w:szCs w:val="20"/>
            </w:rPr>
            <w:t xml:space="preserve">_________________________</w:t>
          </w:r>
        </w:sdtContent>
      </w:sdt>
    </w:p>
    <w:p>
      <w:pPr>
        <w:tabs>
          <w:tab w:val="left" w:pos="720"/>
        </w:tabs>
        <w:spacing w:after="120" w:line="240"/>
      </w:pPr>
      <w:r>
        <w:rPr>
          <w:rFonts w:ascii="Times New Roman" w:cs="Times New Roman" w:eastAsia="Times New Roman" w:hAnsi="Times New Roman"/>
          <w:sz w:val="20"/>
          <w:szCs w:val="20"/>
        </w:rPr>
        <w:t xml:space="preserve">Stamp:</w:t>
      </w:r>
      <w:r>
        <w:rPr>
          <w:rFonts w:ascii="Times New Roman" w:cs="Times New Roman" w:eastAsia="Times New Roman" w:hAnsi="Times New Roman"/>
          <w:sz w:val="20"/>
          <w:szCs w:val="20"/>
        </w:rPr>
        <w:t xml:space="preserve">	</w:t>
      </w:r>
      <w:sdt>
        <w:sdtPr>
          <w:rPr>
            <w:rFonts w:ascii="Times New Roman" w:cs="Times New Roman" w:eastAsia="Times New Roman" w:hAnsi="Times New Roman"/>
            <w:sz w:val="20"/>
            <w:szCs w:val="20"/>
          </w:rPr>
          <w:alias w:val="Sign Stamp"/>
          <w:tag w:val="Sign_Stamp"/>
          <w:id w:val="972274326"/>
          <w:showingPlcHdr/>
          <w:text/>
        </w:sdtPr>
        <w:sdtContent>
          <w:r>
            <w:rPr>
              <w:rFonts w:ascii="Times New Roman" w:cs="Times New Roman" w:eastAsia="Times New Roman" w:hAnsi="Times New Roman"/>
              <w:sz w:val="20"/>
              <w:szCs w:val="20"/>
            </w:rPr>
            <w:t xml:space="preserve">_________________________</w:t>
          </w:r>
        </w:sdtContent>
      </w:sdt>
    </w:p>
    <w:p>
      <w:pPr>
        <w:keepNext/>
        <w:spacing w:after="120" w:before="120"/>
      </w:pPr>
      <w:r>
        <w:rPr>
          <w:rFonts w:ascii="Aptos Display" w:cs="Aptos Display" w:eastAsia="Aptos Display" w:hAnsi="Aptos Display"/>
          <w:color w:val="0F4761"/>
          <w:sz w:val="40"/>
          <w:szCs w:val="40"/>
        </w:rPr>
        <w:t xml:space="preserve">Annex - Supporting Documentation</w:t>
      </w:r>
    </w:p>
    <w:p>
      <w:pPr>
        <w:spacing w:after="120"/>
      </w:pPr>
      <w:r>
        <w:rPr>
          <w:rFonts w:ascii="Times New Roman" w:cs="Times New Roman" w:eastAsia="Times New Roman" w:hAnsi="Times New Roman"/>
          <w:sz w:val="20"/>
          <w:szCs w:val="20"/>
        </w:rPr>
        <w:t xml:space="preserve">Please attach each of these to your submission</w:t>
      </w:r>
    </w:p>
    <w:p>
      <w:pPr>
        <w:spacing w:after="120" w:line="240"/>
      </w:pPr>
      <w:sdt>
        <w:sdtPr>
          <w:rPr>
            <w:rFonts w:ascii="Segoe UI Symbol" w:eastAsia="MS Gothic" w:hAnsi="Segoe UI Symbol" w:cs="Segoe UI Symbol"/>
            <w:sz w:val="20"/>
            <w:szCs w:val="20"/>
          </w:rPr>
          <w:alias w:val="Annex Registration Cert"/>
          <w:tag w:val="Annex_Registration_Cert"/>
          <w:id w:val="904893601"/>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Company Registration Certificates</w:t>
      </w:r>
    </w:p>
    <w:p>
      <w:pPr>
        <w:spacing w:after="120" w:line="240"/>
      </w:pPr>
      <w:sdt>
        <w:sdtPr>
          <w:rPr>
            <w:rFonts w:ascii="Segoe UI Symbol" w:eastAsia="MS Gothic" w:hAnsi="Segoe UI Symbol" w:cs="Segoe UI Symbol"/>
            <w:sz w:val="20"/>
            <w:szCs w:val="20"/>
          </w:rPr>
          <w:alias w:val="Annex FDA Licence"/>
          <w:tag w:val="Annex_FDA_Licence"/>
          <w:id w:val="278455295"/>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FDA Approved Manufacturing License or Clearance</w:t>
      </w:r>
    </w:p>
    <w:p>
      <w:pPr>
        <w:spacing w:after="120" w:line="240"/>
      </w:pPr>
      <w:sdt>
        <w:sdtPr>
          <w:rPr>
            <w:rFonts w:ascii="Segoe UI Symbol" w:eastAsia="MS Gothic" w:hAnsi="Segoe UI Symbol" w:cs="Segoe UI Symbol"/>
            <w:sz w:val="20"/>
            <w:szCs w:val="20"/>
          </w:rPr>
          <w:alias w:val="Annex Product Registration"/>
          <w:tag w:val="Annex_Product_Registration"/>
          <w:id w:val="224290994"/>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Proof of Product registration certificate</w:t>
      </w:r>
    </w:p>
    <w:p>
      <w:pPr>
        <w:spacing w:after="120" w:line="240"/>
      </w:pPr>
      <w:sdt>
        <w:sdtPr>
          <w:rPr>
            <w:rFonts w:ascii="Segoe UI Symbol" w:eastAsia="MS Gothic" w:hAnsi="Segoe UI Symbol" w:cs="Segoe UI Symbol"/>
            <w:sz w:val="20"/>
            <w:szCs w:val="20"/>
          </w:rPr>
          <w:alias w:val="Annex Other Certification"/>
          <w:tag w:val="Annex_Other_Certification"/>
          <w:id w:val="462875305"/>
          <w14:checkbox>
            <w14:checked w14:val="0"/>
            <w14:checkedState w14:val="2611" w14:font="Segoe UI Symbol"/>
            <w14:uncheckedState w14:val="2610" w14:font="Segoe UI Symbol"/>
          </w14:checkbox>
        </w:sdtPr>
        <w:sdtContent>
          <w:r>
            <w:rPr>
              <w:rFonts w:ascii="Segoe UI Symbol" w:eastAsia="MS Gothic" w:hAnsi="Segoe UI Symbol" w:cs="Segoe UI Symbol"/>
              <w:sz w:val="20"/>
              <w:szCs w:val="20"/>
            </w:rPr>
            <w:t>☐</w:t>
          </w:r>
        </w:sdtContent>
      </w:sdt>
      <w:r>
        <w:rPr>
          <w:rFonts w:ascii="Times New Roman" w:cs="Times New Roman" w:eastAsia="Times New Roman" w:hAnsi="Times New Roman"/>
          <w:sz w:val="20"/>
          <w:szCs w:val="20"/>
        </w:rPr>
        <w:t xml:space="preserve"> Other Relevant Certification</w:t>
      </w:r>
    </w:p>
    <w:sectPr>
      <w:headerReference w:type="default" r:id="rId7"/>
      <w:footerReference w:type="default" r:id="rId8"/>
      <w:pgSz w:w="11906" w:h="16838" w:orient="portrait"/>
      <w:pgMar w:top="2400" w:right="1440" w:bottom="1300" w:left="1440" w:header="318" w:footer="2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5267325"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267325" cy="60960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6105525"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105525" cy="11906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footnotes" Target="footnotes.xml"/><Relationship Id="rIddvx4y8frphumusuimy29b" Type="http://schemas.openxmlformats.org/officeDocument/2006/relationships/hyperlink" Target="mailto:pharmavax-ghana@luvent-consulting.com" TargetMode="Externa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numbering" Target="numbering.xml"/><Relationship Id="rIdovxsnyncikg2q6aqk8el-" Type="http://schemas.openxmlformats.org/officeDocument/2006/relationships/hyperlink" Target="mailto:pharmavax-ghana@luvent-consulting.com" TargetMode="Externa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settings" Target="settings.xml"/><Relationship Id="rId4" Type="http://schemas.openxmlformats.org/officeDocument/2006/relationships/endnotes" Target="endnotes.xml"/><Relationship Id="rId14" Type="http://schemas.openxmlformats.org/officeDocument/2006/relationships/customXml" Target="../customXml/item3.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ec2e1d49f6d397f9f9285fcc12126ddf96277a85.jp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ae6160aff0ec3d4e008c2e4f66980bdc6302bda.jp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3D35946157A4E9228BACB80204913" ma:contentTypeVersion="18" ma:contentTypeDescription="Create a new document." ma:contentTypeScope="" ma:versionID="7beff4515dd03d23cec531ce8795704d">
  <xsd:schema xmlns:xsd="http://www.w3.org/2001/XMLSchema" xmlns:xs="http://www.w3.org/2001/XMLSchema" xmlns:p="http://schemas.microsoft.com/office/2006/metadata/properties" xmlns:ns2="6f4482a1-2ea2-4813-ac23-c68157ff0fa5" xmlns:ns3="a262caee-8aea-4192-9729-3f0ee3e5d503" targetNamespace="http://schemas.microsoft.com/office/2006/metadata/properties" ma:root="true" ma:fieldsID="76481dcffffe04a131a80c19e361eccb" ns2:_="" ns3:_="">
    <xsd:import namespace="6f4482a1-2ea2-4813-ac23-c68157ff0fa5"/>
    <xsd:import namespace="a262caee-8aea-4192-9729-3f0ee3e5d5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4482a1-2ea2-4813-ac23-c68157ff0f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62caee-8aea-4192-9729-3f0ee3e5d50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964a740-a3b5-4a6c-a281-4c37eafc9b00}" ma:internalName="TaxCatchAll" ma:showField="CatchAllData" ma:web="a262caee-8aea-4192-9729-3f0ee3e5d50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4482a1-2ea2-4813-ac23-c68157ff0fa5">
      <Terms xmlns="http://schemas.microsoft.com/office/infopath/2007/PartnerControls"/>
    </lcf76f155ced4ddcb4097134ff3c332f>
    <TaxCatchAll xmlns="a262caee-8aea-4192-9729-3f0ee3e5d503" xsi:nil="true"/>
  </documentManagement>
</p:properties>
</file>

<file path=customXml/itemProps1.xml><?xml version="1.0" encoding="utf-8"?>
<ds:datastoreItem xmlns:ds="http://schemas.openxmlformats.org/officeDocument/2006/customXml" ds:itemID="{66B9F56A-FB9C-41E7-9900-D8BF06577D7B}"/>
</file>

<file path=customXml/itemProps2.xml><?xml version="1.0" encoding="utf-8"?>
<ds:datastoreItem xmlns:ds="http://schemas.openxmlformats.org/officeDocument/2006/customXml" ds:itemID="{AD475AD1-1087-4DB5-9338-79196F151C54}"/>
</file>

<file path=customXml/itemProps3.xml><?xml version="1.0" encoding="utf-8"?>
<ds:datastoreItem xmlns:ds="http://schemas.openxmlformats.org/officeDocument/2006/customXml" ds:itemID="{9088CE63-54AA-4E5C-8A15-482ED6D31B29}"/>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2026-10-19T15:54:05Z</dcterms:created>
  <dcterms:modified xsi:type="dcterms:W3CDTF">2026-10-19T15:54:05Z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0x010100C433D35946157A4E9228BACB80204913</vt:lpwstr>
  </property>
</Properties>
</file>